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F1C7A" w14:textId="77777777" w:rsidR="00473E8F" w:rsidRPr="005A365C" w:rsidRDefault="00473E8F" w:rsidP="00473E8F">
      <w:pPr>
        <w:bidi/>
        <w:spacing w:line="360" w:lineRule="auto"/>
        <w:rPr>
          <w:rFonts w:ascii="Roboto" w:hAnsi="Roboto"/>
          <w:b/>
          <w:color w:val="00684B"/>
          <w:sz w:val="36"/>
          <w:szCs w:val="44"/>
          <w:rtl/>
        </w:rPr>
      </w:pPr>
      <w:bookmarkStart w:id="0" w:name="_hxp5zq5q4edi"/>
      <w:bookmarkStart w:id="1" w:name="_c7h8g0y6tkp8"/>
      <w:bookmarkStart w:id="2" w:name="_18lk1ovp8tyb" w:colFirst="0" w:colLast="0"/>
      <w:bookmarkStart w:id="3" w:name="_Hlk168412480"/>
      <w:bookmarkEnd w:id="0"/>
      <w:bookmarkEnd w:id="1"/>
      <w:bookmarkEnd w:id="2"/>
      <w:r>
        <w:rPr>
          <w:rFonts w:hint="cs"/>
          <w:noProof/>
          <w:rtl/>
        </w:rPr>
        <w:drawing>
          <wp:anchor distT="0" distB="0" distL="114300" distR="114300" simplePos="0" relativeHeight="251659264" behindDoc="0" locked="0" layoutInCell="1" allowOverlap="1" wp14:anchorId="0364424D" wp14:editId="3850235E">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60288" behindDoc="0" locked="0" layoutInCell="1" allowOverlap="1" wp14:anchorId="7569AB1B" wp14:editId="71D62277">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48C2212A" w14:textId="77777777" w:rsidR="00473E8F" w:rsidRPr="00473E8F" w:rsidRDefault="00473E8F" w:rsidP="00473E8F">
                            <w:pPr>
                              <w:bidi/>
                              <w:spacing w:line="276" w:lineRule="auto"/>
                              <w:rPr>
                                <w:rFonts w:ascii="Arial" w:eastAsia="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9AB1B"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48C2212A" w14:textId="77777777" w:rsidR="00473E8F" w:rsidRPr="00473E8F" w:rsidRDefault="00473E8F" w:rsidP="00473E8F">
                      <w:pPr>
                        <w:bidi/>
                        <w:spacing w:line="276" w:lineRule="auto"/>
                        <w:rPr>
                          <w:rFonts w:ascii="Arial" w:eastAsia="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59745FEB" w14:textId="77777777" w:rsidR="00473E8F" w:rsidRPr="005A365C" w:rsidRDefault="00473E8F" w:rsidP="00473E8F">
      <w:pPr>
        <w:spacing w:line="360" w:lineRule="auto"/>
        <w:rPr>
          <w:rFonts w:ascii="Roboto" w:hAnsi="Roboto"/>
          <w:b/>
          <w:color w:val="00684B"/>
          <w:sz w:val="36"/>
          <w:szCs w:val="44"/>
          <w:lang w:val="en-US"/>
        </w:rPr>
      </w:pPr>
    </w:p>
    <w:p w14:paraId="60908DEA" w14:textId="77777777" w:rsidR="00473E8F" w:rsidRPr="005A365C" w:rsidRDefault="00473E8F" w:rsidP="00473E8F">
      <w:pPr>
        <w:bidi/>
        <w:spacing w:after="120"/>
        <w:rPr>
          <w:rFonts w:ascii="Roboto Slab" w:hAnsi="Roboto Slab"/>
          <w:b/>
          <w:color w:val="00684B"/>
          <w:sz w:val="44"/>
          <w:szCs w:val="44"/>
          <w:rtl/>
        </w:rPr>
      </w:pPr>
      <w:r>
        <w:rPr>
          <w:rFonts w:ascii="Roboto Slab" w:hAnsi="Roboto Slab" w:hint="cs"/>
          <w:b/>
          <w:bCs/>
          <w:color w:val="00684B"/>
          <w:sz w:val="44"/>
          <w:szCs w:val="44"/>
          <w:rtl/>
        </w:rPr>
        <w:t>سيرفسوب:</w:t>
      </w:r>
    </w:p>
    <w:p w14:paraId="24A13828" w14:textId="37664710" w:rsidR="00473E8F" w:rsidRPr="005A365C" w:rsidRDefault="00473E8F" w:rsidP="00473E8F">
      <w:pPr>
        <w:bidi/>
        <w:spacing w:after="120"/>
        <w:rPr>
          <w:rFonts w:ascii="Roboto Slab Light" w:hAnsi="Roboto Slab Light"/>
          <w:color w:val="00684B"/>
          <w:sz w:val="36"/>
          <w:szCs w:val="36"/>
          <w:rtl/>
        </w:rPr>
      </w:pPr>
      <w:r>
        <w:rPr>
          <w:rFonts w:ascii="Roboto Slab Light" w:hAnsi="Roboto Slab Light" w:hint="cs"/>
          <w:color w:val="00684B"/>
          <w:sz w:val="36"/>
          <w:szCs w:val="36"/>
          <w:rtl/>
        </w:rPr>
        <w:t>دور</w:t>
      </w:r>
      <w:r>
        <w:t xml:space="preserve"> </w:t>
      </w:r>
      <w:r>
        <w:rPr>
          <w:rFonts w:ascii="Roboto Slab Light" w:hAnsi="Roboto Slab Light" w:hint="cs"/>
          <w:color w:val="00684B"/>
          <w:sz w:val="36"/>
          <w:szCs w:val="36"/>
          <w:rtl/>
        </w:rPr>
        <w:t>فرانسين</w:t>
      </w:r>
    </w:p>
    <w:p w14:paraId="57F40A75" w14:textId="20E9425F" w:rsidR="00473E8F" w:rsidRPr="005A365C" w:rsidRDefault="00473B19" w:rsidP="00473E8F">
      <w:pPr>
        <w:framePr w:hSpace="181" w:vSpace="181" w:wrap="notBeside" w:vAnchor="page" w:hAnchor="page" w:x="1419" w:y="11642"/>
        <w:bidi/>
        <w:rPr>
          <w:rFonts w:ascii="Roboto" w:hAnsi="Roboto"/>
          <w:sz w:val="20"/>
          <w:rtl/>
        </w:rPr>
      </w:pPr>
      <w:bookmarkStart w:id="4" w:name="_Hlk168412594"/>
      <w:bookmarkEnd w:id="3"/>
      <w:r w:rsidRPr="00473B19">
        <w:rPr>
          <w:rFonts w:ascii="Roboto" w:hAnsi="Roboto"/>
          <w:sz w:val="20"/>
          <w:szCs w:val="20"/>
          <w:lang w:val="en-US"/>
        </w:rPr>
        <w:t>11</w:t>
      </w:r>
      <w:r w:rsidR="00473E8F">
        <w:rPr>
          <w:rFonts w:ascii="Roboto" w:hAnsi="Roboto" w:hint="cs"/>
          <w:sz w:val="20"/>
          <w:szCs w:val="20"/>
          <w:rtl/>
        </w:rPr>
        <w:t>/2024-6923</w:t>
      </w:r>
    </w:p>
    <w:p w14:paraId="4841FF9F" w14:textId="31B5E763" w:rsidR="00473E8F" w:rsidRDefault="00473E8F" w:rsidP="00473E8F">
      <w:pPr>
        <w:pStyle w:val="CreditLines"/>
        <w:framePr w:w="9044" w:wrap="notBeside" w:hAnchor="page" w:x="1419" w:y="12061"/>
        <w:bidi/>
        <w:rPr>
          <w:rFonts w:ascii="Roboto" w:hAnsi="Roboto" w:cs="Arial"/>
          <w:rtl/>
        </w:rPr>
      </w:pPr>
      <w:bookmarkStart w:id="5" w:name="_Hlk168421402"/>
      <w:bookmarkStart w:id="6" w:name="_Hlk168423338"/>
      <w:bookmarkStart w:id="7" w:name="_Hlk168412544"/>
      <w:bookmarkEnd w:id="4"/>
      <w:r>
        <w:rPr>
          <w:rFonts w:ascii="Roboto" w:hAnsi="Roboto" w:hint="cs"/>
          <w:rtl/>
        </w:rPr>
        <w:t xml:space="preserve">كتب هذه المسرحية </w:t>
      </w:r>
      <w:bookmarkStart w:id="8" w:name="_Hlk168399487"/>
      <w:r>
        <w:rPr>
          <w:rFonts w:ascii="Roboto" w:hAnsi="Roboto" w:hint="cs"/>
          <w:rtl/>
        </w:rPr>
        <w:t xml:space="preserve">راج سانجاي، وفاسيليوس لياروس، وأوليفييه مويترو، وديبيان روي، وآنا ستيبانوفا، خريجو ماجستير إدارة الأعمال في </w:t>
      </w:r>
      <w:r>
        <w:rPr>
          <w:rFonts w:ascii="Roboto" w:hAnsi="Roboto"/>
        </w:rPr>
        <w:t>INSEAD</w:t>
      </w:r>
      <w:r>
        <w:rPr>
          <w:rFonts w:ascii="Roboto" w:hAnsi="Roboto" w:hint="cs"/>
          <w:rtl/>
        </w:rPr>
        <w:t xml:space="preserve">، تحت إشراف بارت تشو يوشين، </w:t>
      </w:r>
      <w:bookmarkEnd w:id="8"/>
      <w:r>
        <w:rPr>
          <w:rFonts w:ascii="Roboto" w:hAnsi="Roboto" w:hint="cs"/>
          <w:rtl/>
        </w:rPr>
        <w:t xml:space="preserve">أستاذ مساعد في التمويل في كلية </w:t>
      </w:r>
      <w:r>
        <w:rPr>
          <w:rFonts w:ascii="Roboto" w:hAnsi="Roboto"/>
        </w:rPr>
        <w:t>LKC</w:t>
      </w:r>
      <w:r>
        <w:rPr>
          <w:rFonts w:ascii="Roboto" w:hAnsi="Roboto" w:hint="cs"/>
          <w:rtl/>
        </w:rPr>
        <w:t xml:space="preserve"> للأعمال، ومارتن شوينسبيرج، أستاذ مشارك في السلوك التنظيمي في </w:t>
      </w:r>
      <w:r>
        <w:rPr>
          <w:rFonts w:ascii="Roboto" w:hAnsi="Roboto"/>
        </w:rPr>
        <w:t>ESMT</w:t>
      </w:r>
      <w:r>
        <w:rPr>
          <w:rFonts w:ascii="Roboto" w:hAnsi="Roboto" w:hint="cs"/>
          <w:rtl/>
        </w:rPr>
        <w:t xml:space="preserve"> برلين، وهوراسيو فالكو أو، أستاذ ممارسة إدارة علوم القرارات في </w:t>
      </w:r>
      <w:r>
        <w:rPr>
          <w:rFonts w:ascii="Roboto" w:hAnsi="Roboto"/>
        </w:rPr>
        <w:t>INSEAD</w:t>
      </w:r>
      <w:r>
        <w:rPr>
          <w:rFonts w:ascii="Roboto" w:hAnsi="Roboto" w:hint="cs"/>
          <w:rtl/>
        </w:rPr>
        <w:t>، وإريك أولمان،</w:t>
      </w:r>
      <w:r>
        <w:t xml:space="preserve"> </w:t>
      </w:r>
      <w:r>
        <w:rPr>
          <w:rFonts w:ascii="Roboto" w:hAnsi="Roboto" w:hint="cs"/>
          <w:rtl/>
        </w:rPr>
        <w:t xml:space="preserve">أستاذ السلوك التنظيمي في </w:t>
      </w:r>
      <w:r>
        <w:rPr>
          <w:rFonts w:ascii="Roboto" w:hAnsi="Roboto"/>
        </w:rPr>
        <w:t>INSEAD</w:t>
      </w:r>
      <w:r>
        <w:rPr>
          <w:rFonts w:ascii="Roboto" w:hAnsi="Roboto" w:hint="cs"/>
          <w:rtl/>
        </w:rPr>
        <w:t>.</w:t>
      </w:r>
      <w:r>
        <w:rPr>
          <w:rFonts w:ascii="Roboto" w:hAnsi="Roboto"/>
        </w:rPr>
        <w:t xml:space="preserve"> </w:t>
      </w:r>
      <w:r>
        <w:rPr>
          <w:rFonts w:ascii="Roboto" w:hAnsi="Roboto" w:hint="cs"/>
          <w:rtl/>
        </w:rPr>
        <w:t>والغرض منها هو استخدامها كأساس للمناقشة في الفصل الدراسي، وليس لتوضيح التعامل الفعال أو غير الفعال مع أحد المواقف الإدارية</w:t>
      </w:r>
      <w:bookmarkEnd w:id="5"/>
      <w:r>
        <w:rPr>
          <w:rFonts w:ascii="Roboto" w:hAnsi="Roboto" w:hint="cs"/>
          <w:rtl/>
        </w:rPr>
        <w:t>.</w:t>
      </w:r>
      <w:bookmarkEnd w:id="6"/>
    </w:p>
    <w:p w14:paraId="0413C831" w14:textId="04A023D5" w:rsidR="00262DF7" w:rsidRPr="005A365C" w:rsidRDefault="00262DF7" w:rsidP="00473E8F">
      <w:pPr>
        <w:pStyle w:val="CreditLines"/>
        <w:framePr w:w="9044" w:wrap="notBeside" w:hAnchor="page" w:x="1419" w:y="12061"/>
        <w:bidi/>
        <w:rPr>
          <w:rFonts w:ascii="Roboto" w:hAnsi="Roboto" w:cs="Arial"/>
          <w:bCs w:val="0"/>
          <w:rtl/>
        </w:rPr>
      </w:pPr>
      <w:r>
        <w:rPr>
          <w:rFonts w:ascii="Roboto" w:hAnsi="Roboto" w:hint="cs"/>
          <w:rtl/>
        </w:rPr>
        <w:t>يتوجه المؤلفون بالشكر الجزيل للتمويل المُقدم من معهد هوفمان.</w:t>
      </w:r>
    </w:p>
    <w:p w14:paraId="26F85DCA" w14:textId="77777777" w:rsidR="00473E8F" w:rsidRDefault="00473E8F" w:rsidP="00473E8F">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12" w:history="1">
        <w:r>
          <w:rPr>
            <w:rFonts w:ascii="Roboto" w:hAnsi="Roboto"/>
            <w:color w:val="0000FF"/>
            <w:sz w:val="20"/>
            <w:u w:val="single"/>
          </w:rPr>
          <w:t>https://publishing.insead.edu/</w:t>
        </w:r>
      </w:hyperlink>
      <w:r>
        <w:rPr>
          <w:rFonts w:ascii="Roboto" w:hAnsi="Roboto"/>
          <w:color w:val="1F497D"/>
          <w:sz w:val="20"/>
          <w:szCs w:val="20"/>
        </w:rPr>
        <w:t>.</w:t>
      </w:r>
    </w:p>
    <w:p w14:paraId="50829305" w14:textId="77777777" w:rsidR="00473B19" w:rsidRPr="00473B19" w:rsidRDefault="00473B19" w:rsidP="00473B19">
      <w:pPr>
        <w:framePr w:w="9044" w:hSpace="181" w:vSpace="181" w:wrap="notBeside" w:vAnchor="page" w:hAnchor="page" w:x="1419" w:y="12061"/>
        <w:widowControl w:val="0"/>
        <w:tabs>
          <w:tab w:val="left" w:pos="5040"/>
        </w:tabs>
        <w:bidi/>
        <w:spacing w:after="120" w:line="240" w:lineRule="atLeast"/>
        <w:rPr>
          <w:rFonts w:ascii="Roboto" w:hAnsi="Roboto"/>
          <w:sz w:val="20"/>
        </w:rPr>
      </w:pPr>
      <w:r w:rsidRPr="00473B19">
        <w:rPr>
          <w:rFonts w:ascii="Roboto" w:hAnsi="Roboto"/>
          <w:sz w:val="20"/>
        </w:rPr>
        <w:t>Translated using an LLM (Large Language Model) and edited by Tilti Multilingual SIA, with the permission of INSEAD.</w:t>
      </w:r>
    </w:p>
    <w:p w14:paraId="49DBDBED" w14:textId="5532F16A" w:rsidR="00473B19" w:rsidRPr="005A365C" w:rsidRDefault="00473B19" w:rsidP="00473B19">
      <w:pPr>
        <w:framePr w:w="9044" w:hSpace="181" w:vSpace="181" w:wrap="notBeside" w:vAnchor="page" w:hAnchor="page" w:x="1419" w:y="12061"/>
        <w:widowControl w:val="0"/>
        <w:tabs>
          <w:tab w:val="left" w:pos="5040"/>
        </w:tabs>
        <w:bidi/>
        <w:spacing w:after="120" w:line="240" w:lineRule="atLeast"/>
        <w:rPr>
          <w:rFonts w:ascii="Roboto" w:hAnsi="Roboto"/>
          <w:sz w:val="20"/>
          <w:rtl/>
        </w:rPr>
      </w:pPr>
      <w:r w:rsidRPr="00473B19">
        <w:rPr>
          <w:rFonts w:ascii="Roboto" w:hAnsi="Roboto"/>
          <w:sz w:val="20"/>
        </w:rPr>
        <w:t xml:space="preserve">This translation, Copyright © 2024 INSEAD. The original role play is entitled “The Surfsub: Role of </w:t>
      </w:r>
      <w:r>
        <w:rPr>
          <w:rFonts w:ascii="Roboto" w:hAnsi="Roboto"/>
          <w:sz w:val="20"/>
        </w:rPr>
        <w:t>Francine</w:t>
      </w:r>
      <w:r w:rsidRPr="00473B19">
        <w:rPr>
          <w:rFonts w:ascii="Roboto" w:hAnsi="Roboto"/>
          <w:sz w:val="20"/>
        </w:rPr>
        <w:t>” (06/2024-6923), Copyright © 2024 INSEAD</w:t>
      </w:r>
    </w:p>
    <w:bookmarkEnd w:id="7"/>
    <w:p w14:paraId="479CEC2E" w14:textId="77777777" w:rsidR="00473E8F" w:rsidRDefault="00473E8F" w:rsidP="001B75CE">
      <w:pPr>
        <w:pStyle w:val="Title"/>
        <w:jc w:val="center"/>
        <w:rPr>
          <w:b/>
          <w:bCs/>
          <w:sz w:val="28"/>
          <w:szCs w:val="28"/>
        </w:rPr>
        <w:sectPr w:rsidR="00473E8F" w:rsidSect="00473E8F">
          <w:headerReference w:type="even" r:id="rId13"/>
          <w:headerReference w:type="default" r:id="rId14"/>
          <w:footerReference w:type="even" r:id="rId15"/>
          <w:footerReference w:type="default" r:id="rId16"/>
          <w:headerReference w:type="first" r:id="rId17"/>
          <w:footerReference w:type="first" r:id="rId18"/>
          <w:pgSz w:w="11909" w:h="16834"/>
          <w:pgMar w:top="2569" w:right="1418" w:bottom="1531" w:left="1418" w:header="720" w:footer="720" w:gutter="0"/>
          <w:pgNumType w:start="1"/>
          <w:cols w:space="720"/>
          <w:titlePg/>
          <w:docGrid w:linePitch="326"/>
        </w:sectPr>
      </w:pPr>
    </w:p>
    <w:p w14:paraId="4F8166F3" w14:textId="635D0F97" w:rsidR="00A4218A" w:rsidRPr="00473E8F" w:rsidRDefault="008F024F" w:rsidP="00473E8F">
      <w:pPr>
        <w:pStyle w:val="StandardParagraph"/>
        <w:bidi/>
        <w:rPr>
          <w:rtl/>
        </w:rPr>
      </w:pPr>
      <w:r>
        <w:rPr>
          <w:rFonts w:hint="cs"/>
          <w:rtl/>
        </w:rPr>
        <w:lastRenderedPageBreak/>
        <w:t>أنتِ فرانسين باركر، الرئيسة التنفيذية لشركة سيرفسوب سيرف بوردس أستراليا - وهي علامة تجارية مستقلة شهيرة في مجال ألواح التزلج على الأمواج حيث تصمم وتصنع ألواح التزلج الصديقة للبيئة والمبتكرة في كوينزلاند، أستراليا.</w:t>
      </w:r>
      <w:r>
        <w:t xml:space="preserve"> </w:t>
      </w:r>
      <w:r>
        <w:rPr>
          <w:rFonts w:hint="cs"/>
          <w:rtl/>
        </w:rPr>
        <w:t>تأسست سيرفسوب منذ 7 سنوات نتيجةً لشغفكِ بركوب الأمواج والمحيط.</w:t>
      </w:r>
      <w:r>
        <w:t xml:space="preserve"> </w:t>
      </w:r>
      <w:r>
        <w:rPr>
          <w:rFonts w:hint="cs"/>
          <w:rtl/>
        </w:rPr>
        <w:t>فعندما أدركتِ التأثير الضار للتلوث والاحتباس الحراري على محيطات العالم، جعلتِ مهمتكِ إيجاد حل من خلال إنشاء ألواح تزلج على الأمواج مستدامة وصديقة للبيئة (ألواح صديقة للبيئة) لا تطلق أصباغًا سامة وعناصر بلاستيكية دقيقة في محيطاتنا.</w:t>
      </w:r>
      <w:r>
        <w:t xml:space="preserve"> </w:t>
      </w:r>
      <w:r>
        <w:rPr>
          <w:rFonts w:hint="cs"/>
          <w:rtl/>
        </w:rPr>
        <w:t>لقد أمضيتِ وقتًا طويلًا في تطوير التصميم المريح واختيار المواد العضوية وغير السامة بعناية، وكانت قابلة للتحلل البيولوجي ومتينة.</w:t>
      </w:r>
      <w:r>
        <w:t xml:space="preserve"> </w:t>
      </w:r>
      <w:r>
        <w:rPr>
          <w:rFonts w:hint="cs"/>
          <w:rtl/>
        </w:rPr>
        <w:t>لقد استلهمتِ أفكارًا من الثقافات البولينيزية القديمة، التي استخدمت مواد غير سامة مزروعة محليًا لإنشاء ألواح متينة يمكن إصلاحها بسهولة في حالة كسرها.</w:t>
      </w:r>
      <w:r>
        <w:t xml:space="preserve"> </w:t>
      </w:r>
      <w:r>
        <w:rPr>
          <w:rFonts w:hint="cs"/>
          <w:rtl/>
        </w:rPr>
        <w:t>كما تأكدتِ من أن ألواحكِ الصديقة للبيئة تخضع لأعلى معايير الجودة البيئية وأكثرها صرامة.</w:t>
      </w:r>
      <w:r>
        <w:t xml:space="preserve"> </w:t>
      </w:r>
    </w:p>
    <w:p w14:paraId="3E69E34D" w14:textId="29273F57" w:rsidR="007F78AA" w:rsidRPr="00473E8F" w:rsidRDefault="00A4218A" w:rsidP="00473E8F">
      <w:pPr>
        <w:pStyle w:val="StandardParagraph"/>
        <w:bidi/>
        <w:rPr>
          <w:rtl/>
        </w:rPr>
      </w:pPr>
      <w:r>
        <w:rPr>
          <w:rFonts w:hint="cs"/>
          <w:rtl/>
        </w:rPr>
        <w:t>لفتت مهمة سيرفسوب الفريدة انتباه راكبي الأمواج الأستراليين بسرعة وانتشرت على نطاق واسع على وسائل التواصل الاجتماعي الأسترالية، مما أدى إلى نجاح الشركة على مستوى البلاد.</w:t>
      </w:r>
      <w:r>
        <w:t xml:space="preserve"> </w:t>
      </w:r>
      <w:r>
        <w:rPr>
          <w:rFonts w:hint="cs"/>
          <w:rtl/>
        </w:rPr>
        <w:t>فلقد تفاعل المستهلكون الأستراليون بشكل كبير مع شغف سيرفسوب بركوب الأمواج ومهمتها في إنقاذ البيئة، كما هو موضح في حساباتها على وسائل التواصل الاجتماعي عبر الإنترنت؛ من خلال مزيج مثير للاهتمام من تصميمات ألواح التزلج الانتقائية، والرسوم البيانية المصممة لزيادة الوعي بالتلوث المحيطي.</w:t>
      </w:r>
      <w:r>
        <w:t xml:space="preserve"> </w:t>
      </w:r>
      <w:r>
        <w:rPr>
          <w:rFonts w:hint="cs"/>
          <w:rtl/>
        </w:rPr>
        <w:t>وينبع جوهر نجاح سيرفسوب على مستوى البلاد من شغفها بإنقاذ المحيطات من التلوث البلاستيكي بالإضافة إلى التزامكِ بصنع ألواح التزلج المبتكرة، وعالية الجودة، والمتينة.</w:t>
      </w:r>
      <w:r>
        <w:t xml:space="preserve"> </w:t>
      </w:r>
    </w:p>
    <w:p w14:paraId="1D826315" w14:textId="128597E1" w:rsidR="007F78AA" w:rsidRPr="00473E8F" w:rsidRDefault="008F024F" w:rsidP="00473E8F">
      <w:pPr>
        <w:pStyle w:val="StandardParagraph"/>
        <w:bidi/>
        <w:rPr>
          <w:rtl/>
        </w:rPr>
      </w:pPr>
      <w:r>
        <w:rPr>
          <w:rFonts w:hint="cs"/>
          <w:rtl/>
        </w:rPr>
        <w:t>سيرفسوب هي شركة قمتِ ببنائها من الصفر، واعتنيتِ بها منذ البداية، وعملتِ بجد على تنميتها باستمرار على مر السنين؛ إنها طفلكِ.</w:t>
      </w:r>
      <w:r>
        <w:t xml:space="preserve"> </w:t>
      </w:r>
      <w:r>
        <w:rPr>
          <w:rFonts w:hint="cs"/>
          <w:rtl/>
        </w:rPr>
        <w:t>لقد تطلب الأمر قدرًا هائلًا من الجهد والتفاني لتتمكن شركة ناشئة صغيرة من اقتحام سوق ألواح التزلج واستهداف سوق متخصصة من راكبي الأمواج المتميزين والواعين بالبيئة.</w:t>
      </w:r>
      <w:r>
        <w:t xml:space="preserve"> </w:t>
      </w:r>
      <w:r>
        <w:rPr>
          <w:rFonts w:hint="cs"/>
          <w:rtl/>
        </w:rPr>
        <w:t>ولكن إحداث تأثير في الصناعة في السوق الأسترالية المشبعة بشركات ضخمة متعددة الجنسيات تصنع ألواح التزلج من خلال اقتصاديات الحجم، كان إنجازًا رائعًا حقًا.</w:t>
      </w:r>
      <w:r>
        <w:t xml:space="preserve"> </w:t>
      </w:r>
      <w:r>
        <w:rPr>
          <w:rFonts w:hint="cs"/>
          <w:rtl/>
        </w:rPr>
        <w:t>لم يكن هذا ممكنًا إلا بفضل عملكِ الجاد، والتزامكِ، ومشاركتكِ العميقة في الشركة.</w:t>
      </w:r>
      <w:r>
        <w:t xml:space="preserve"> </w:t>
      </w:r>
      <w:r>
        <w:rPr>
          <w:rFonts w:hint="cs"/>
          <w:rtl/>
        </w:rPr>
        <w:t>فأنتِ تعشقين ألواح التزلج ويمكنكِ التحدث عن الموضوع لساعات وساعات.</w:t>
      </w:r>
      <w:r>
        <w:t xml:space="preserve"> </w:t>
      </w:r>
      <w:r>
        <w:rPr>
          <w:rFonts w:hint="cs"/>
          <w:rtl/>
        </w:rPr>
        <w:t>وركوب الأمواج، والمحيط، وألواح التزلج هي أهم ما يثير شغفكِ في الحياة.</w:t>
      </w:r>
      <w:r>
        <w:t xml:space="preserve"> </w:t>
      </w:r>
    </w:p>
    <w:p w14:paraId="1BC6A72A" w14:textId="2A2041CB" w:rsidR="0052733D" w:rsidRPr="00473E8F" w:rsidRDefault="00457E6D" w:rsidP="00473E8F">
      <w:pPr>
        <w:pStyle w:val="StandardParagraph"/>
        <w:bidi/>
        <w:rPr>
          <w:rtl/>
        </w:rPr>
      </w:pPr>
      <w:r>
        <w:rPr>
          <w:rFonts w:hint="cs"/>
          <w:rtl/>
        </w:rPr>
        <w:t>على الرغم من كونكِ الرئيسة التنفيذية للشركة، إلا أنكِ دومًا ما تلجئين إلى أختكِ الكبرى، سارة باركر، للحصول على المشورة التجارية.</w:t>
      </w:r>
      <w:r>
        <w:t xml:space="preserve"> </w:t>
      </w:r>
      <w:r>
        <w:rPr>
          <w:rFonts w:hint="cs"/>
          <w:rtl/>
        </w:rPr>
        <w:t xml:space="preserve">إذ تخرجت سارة بدرجة الماجستير في إدارة الأعمال من </w:t>
      </w:r>
      <w:r>
        <w:t>INSEAD</w:t>
      </w:r>
      <w:r>
        <w:rPr>
          <w:rFonts w:hint="cs"/>
          <w:rtl/>
        </w:rPr>
        <w:t>، كما تمتلك حسًا حادًا في مجال الأعمال وأدت أداءً استثنائيًا في دورها كمديرة مالية، مما قادكِ إلى النجاح على مستوى البلاد على مدار السنوات الأخيرة.</w:t>
      </w:r>
      <w:r>
        <w:t xml:space="preserve"> </w:t>
      </w:r>
      <w:r>
        <w:rPr>
          <w:rFonts w:hint="cs"/>
          <w:rtl/>
        </w:rPr>
        <w:t>من بين أمور أخرى، كان جهدها هو الذي ساعد في جولات التمويل المتوالية خلال النمو والتوسع في السنوات الماضية.</w:t>
      </w:r>
      <w:r>
        <w:t xml:space="preserve"> </w:t>
      </w:r>
      <w:r>
        <w:rPr>
          <w:rFonts w:hint="cs"/>
          <w:rtl/>
        </w:rPr>
        <w:t>ومؤخرًا، تمكنت سارة أيضًا من إزالة الشروط المرهقة من التمويل التأسيسي الأولي ورؤوس الأموال الاستثمارية.</w:t>
      </w:r>
      <w:r>
        <w:t xml:space="preserve"> </w:t>
      </w:r>
      <w:r>
        <w:rPr>
          <w:rFonts w:hint="cs"/>
          <w:rtl/>
        </w:rPr>
        <w:t>كانت النتيجة هي شركة سيرفسوب ذات الأسهم الكاملة، حيث أصبحتِ أنتِ وسارة أكبر حاملي الأسهم، وتتقاسمان الأسهم المسيطرة بالتساوي.</w:t>
      </w:r>
    </w:p>
    <w:p w14:paraId="14DE74BA" w14:textId="72D14A80" w:rsidR="007F78AA" w:rsidRPr="00473E8F" w:rsidRDefault="008F024F" w:rsidP="00473E8F">
      <w:pPr>
        <w:pStyle w:val="StandardParagraph"/>
        <w:bidi/>
        <w:rPr>
          <w:rtl/>
        </w:rPr>
      </w:pPr>
      <w:r>
        <w:rPr>
          <w:rFonts w:hint="cs"/>
          <w:rtl/>
        </w:rPr>
        <w:t>في حين أنكِ ممتنة لأختكِ على رؤاها المالية، إلا أنكِ شعرتِ كثيرًا بأنها لا تشارككِ نفس مستوى الشغف تجاه ألواح التزلج المستدامة.</w:t>
      </w:r>
      <w:r>
        <w:t xml:space="preserve"> </w:t>
      </w:r>
      <w:r>
        <w:rPr>
          <w:rFonts w:hint="cs"/>
          <w:rtl/>
        </w:rPr>
        <w:t>ومع ذلك، فقد بدأ الأمر كأختين تعملان في مرآبهما، ثم تحول الآن إلى علامة تجارية رائدة في السوق لراكبي الأمواج المهتمين بالبيئة، حيث حققت إيرادات بلغت 18.7 مليون دولار أسترالي خلال العام المالي الماضي.</w:t>
      </w:r>
      <w:r>
        <w:t xml:space="preserve"> </w:t>
      </w:r>
      <w:r>
        <w:rPr>
          <w:rFonts w:hint="cs"/>
          <w:rtl/>
        </w:rPr>
        <w:t>وبفضل النمو المذهل الذي شهدته في أستراليا، فأنتِ متحمسة لرؤية ما يخبئه لكِ التوسع العالمي.</w:t>
      </w:r>
      <w:r>
        <w:t xml:space="preserve"> </w:t>
      </w:r>
      <w:r>
        <w:rPr>
          <w:rFonts w:hint="cs"/>
          <w:rtl/>
        </w:rPr>
        <w:t>فالأولوية الأولى هي دخول منطقة آسيا والمحيط الهادئ.</w:t>
      </w:r>
    </w:p>
    <w:p w14:paraId="28F0D8C6" w14:textId="1C4B5F05" w:rsidR="007F78AA" w:rsidRPr="00473E8F" w:rsidRDefault="0089213B" w:rsidP="00473E8F">
      <w:pPr>
        <w:pStyle w:val="StandardParagraph"/>
        <w:bidi/>
        <w:rPr>
          <w:rtl/>
        </w:rPr>
      </w:pPr>
      <w:r>
        <w:rPr>
          <w:rFonts w:hint="cs"/>
          <w:rtl/>
        </w:rPr>
        <w:t>أعربت شركة بوجين ويفز، وهي شركة يقع مقرها في بكين، عن اهتمامها بشراء سيرفسوب.</w:t>
      </w:r>
      <w:r>
        <w:t xml:space="preserve"> </w:t>
      </w:r>
      <w:r>
        <w:rPr>
          <w:rFonts w:hint="cs"/>
          <w:rtl/>
        </w:rPr>
        <w:t>بوجين ويفز هي شركة ملابس وأزياء شاطئية تتمتع بسجل قوي في النمو غير العضوي من خلال الاستحواذ على الشركات التي تظهر إمكانات نمو قوية.</w:t>
      </w:r>
      <w:r>
        <w:t xml:space="preserve"> </w:t>
      </w:r>
      <w:r>
        <w:rPr>
          <w:rFonts w:hint="cs"/>
          <w:rtl/>
        </w:rPr>
        <w:t>في العام الماضي، استحوذت على 3 شركات في المجالات التالية: ملابس الشاطئ، وملابس السباحة، ومعدات الغوص.</w:t>
      </w:r>
      <w:r>
        <w:t xml:space="preserve"> </w:t>
      </w:r>
      <w:r>
        <w:rPr>
          <w:rFonts w:hint="cs"/>
          <w:rtl/>
        </w:rPr>
        <w:t>ويبدو من المنطقي الآن أنهم يريدون الاستحواذ على شركة لركوب الأمواج، وسيكون من المعقول توقع أوجه تآزر محتملة.</w:t>
      </w:r>
      <w:r>
        <w:t xml:space="preserve"> </w:t>
      </w:r>
      <w:r>
        <w:rPr>
          <w:rFonts w:hint="cs"/>
          <w:rtl/>
        </w:rPr>
        <w:t>عندما تواصلوا معكما لأول مرة، كانت سارة في غاية السعادة ومتحمسة للغاية لاحتمال جذب انتباه مثل هذا التكتل الصيني الضخم.</w:t>
      </w:r>
      <w:r>
        <w:t xml:space="preserve"> </w:t>
      </w:r>
      <w:r>
        <w:rPr>
          <w:rFonts w:hint="cs"/>
          <w:rtl/>
        </w:rPr>
        <w:t>لكن من ناحية أخرى، كنتِ أكثر ترددًا.</w:t>
      </w:r>
      <w:r>
        <w:t xml:space="preserve"> </w:t>
      </w:r>
      <w:r>
        <w:rPr>
          <w:rFonts w:hint="cs"/>
          <w:rtl/>
        </w:rPr>
        <w:t>وفي حين أنه من الصحيح أن هذا التآزر سيزيد من التدفقات النقدية الحرة ومعدل نمو الشركة في السنوات القادمة، إلا أن لديكِ بعض المخاوف والتحفظات الرئيسية بشأن استحواذ بوجين ويفز على سيرفسوب.</w:t>
      </w:r>
      <w:r>
        <w:t xml:space="preserve"> </w:t>
      </w:r>
    </w:p>
    <w:p w14:paraId="649ECF3D" w14:textId="2D9F32ED" w:rsidR="007F78AA" w:rsidRPr="00473E8F" w:rsidRDefault="008F024F" w:rsidP="00473E8F">
      <w:pPr>
        <w:pStyle w:val="StandardParagraph"/>
        <w:bidi/>
        <w:rPr>
          <w:rtl/>
        </w:rPr>
      </w:pPr>
      <w:r>
        <w:rPr>
          <w:rFonts w:hint="cs"/>
          <w:rtl/>
        </w:rPr>
        <w:t>أولًا، تمتلك الشركات المتعددة الجنسيات الكبيرة (</w:t>
      </w:r>
      <w:r>
        <w:t>MNC</w:t>
      </w:r>
      <w:r>
        <w:rPr>
          <w:rFonts w:hint="cs"/>
          <w:rtl/>
        </w:rPr>
        <w:t>) ذات سلاسل التوريد العالمية بعضًا من أسوأ السجلات عندما يتعلق الأمر بالتأثير البيئي.</w:t>
      </w:r>
      <w:r>
        <w:t xml:space="preserve"> </w:t>
      </w:r>
      <w:r>
        <w:rPr>
          <w:rFonts w:hint="cs"/>
          <w:rtl/>
        </w:rPr>
        <w:t>فمعظم التكتلات لديها القليل من الشفافية أو لا توجد فيها شفافية على الإطلاق بشأن سلاسل التوريد الخاصة بها، وهي سيئة السمعة نتيجةً للتسبب في تدهور بيئي خطير من خلال التلوث.</w:t>
      </w:r>
      <w:r>
        <w:t xml:space="preserve"> </w:t>
      </w:r>
      <w:r>
        <w:rPr>
          <w:rFonts w:hint="cs"/>
          <w:rtl/>
        </w:rPr>
        <w:t>وعلى مر السنين، ثبتت إدانة شركة بوجين ويفز بارتكاب انتهاكات بيئية مختلفة، مثل الأصباغ السامة والعناصر البلاستيكية الدقيقة الملوثة للمجاري المائية بالإضافة إلى الانسكابات الكيميائية السامة.</w:t>
      </w:r>
      <w:r>
        <w:t xml:space="preserve"> </w:t>
      </w:r>
      <w:r>
        <w:rPr>
          <w:rFonts w:hint="cs"/>
          <w:rtl/>
        </w:rPr>
        <w:t>ثانيًا، من المعروف أن الشركات المتعددة الجنسيات مثل بوجين ويفز تستغل سلاسل التوريد العالمية لتقليل التكلفة، وتتطلع إلى البلدان الأقل تكلفة لاتخاذ قرارات الاستثمار والتوريد، خاصةً عندما لا تتطلب عمليات الإنتاج عمالة ماهرة للغاية.</w:t>
      </w:r>
      <w:r>
        <w:t xml:space="preserve"> </w:t>
      </w:r>
    </w:p>
    <w:p w14:paraId="68D6C0ED" w14:textId="4E009BD2" w:rsidR="007F78AA" w:rsidRPr="00473E8F" w:rsidRDefault="008F024F" w:rsidP="00473E8F">
      <w:pPr>
        <w:pStyle w:val="StandardParagraph"/>
        <w:bidi/>
        <w:rPr>
          <w:rtl/>
        </w:rPr>
      </w:pPr>
      <w:r>
        <w:rPr>
          <w:rFonts w:hint="cs"/>
          <w:rtl/>
        </w:rPr>
        <w:t>أنتِ مترددة بشأن ارتباط علامتكِ التجارية، وهي العلامة التجارية التي طورتِها بشق الأنفس على مدى السنوات السبع الماضية، بمثل هذه الشركة ما لم تتخذ خطوات كبرى نحو التحوُّل الصديق للبيئة.</w:t>
      </w:r>
      <w:r>
        <w:t xml:space="preserve"> </w:t>
      </w:r>
      <w:r>
        <w:rPr>
          <w:rFonts w:hint="cs"/>
          <w:rtl/>
        </w:rPr>
        <w:t xml:space="preserve">وعلى الرغم من أن شركة بوجين ويفز قد دفعت غرامات وتعهدت </w:t>
      </w:r>
      <w:r>
        <w:rPr>
          <w:rFonts w:hint="cs"/>
          <w:rtl/>
        </w:rPr>
        <w:lastRenderedPageBreak/>
        <w:t>بتحسين أدائها في المستقبل، إلا أن أي ارتباط بفضائح الماضي والمستقبل التي قد تواجهها شركة بوجين ويفز فيما يتعلق باستغلال العمال والتدهور البيئي قد يضر بصورة علامتكِ التجارية.</w:t>
      </w:r>
      <w:r>
        <w:t xml:space="preserve"> </w:t>
      </w:r>
      <w:r>
        <w:rPr>
          <w:rFonts w:hint="cs"/>
          <w:rtl/>
        </w:rPr>
        <w:t xml:space="preserve">وبينما تعلمين بأن شركة بوجين ويفز تعمل على تحسين خطوط إنتاجها لتصبح أكثر مراعاة للبيئة، فأنتِ تريدين التأكد من أن شركة بوجين ويفز تستثمر مبلغًا إضافيًا قدره 2 مليون دولار أسترالي في العام المقبل للحصول على شهادة العلامة الخضراء من الحكومة الصينية إذا كنتِ ستوافقين على هذا الاستحواذ.  </w:t>
      </w:r>
    </w:p>
    <w:p w14:paraId="53F52428" w14:textId="0866A81A" w:rsidR="00775FAB" w:rsidRPr="00473E8F" w:rsidRDefault="00A66053" w:rsidP="00473E8F">
      <w:pPr>
        <w:pStyle w:val="StandardParagraph"/>
        <w:bidi/>
        <w:rPr>
          <w:rtl/>
        </w:rPr>
      </w:pPr>
      <w:r>
        <w:rPr>
          <w:rFonts w:hint="cs"/>
          <w:rtl/>
        </w:rPr>
        <w:t>لديكِ أيضًا العديد من الأسئلة حول آليات عملية الاستحواذ من قِبل شركة متعددة الجنسيات مثل بوجين ويفز.</w:t>
      </w:r>
      <w:r>
        <w:t xml:space="preserve"> </w:t>
      </w:r>
      <w:r>
        <w:rPr>
          <w:rFonts w:hint="cs"/>
          <w:rtl/>
        </w:rPr>
        <w:t>ماذا سيحدث لثقافة شركة سيرفسوب؟</w:t>
      </w:r>
      <w:r>
        <w:t xml:space="preserve"> </w:t>
      </w:r>
      <w:r>
        <w:rPr>
          <w:rFonts w:hint="cs"/>
          <w:rtl/>
        </w:rPr>
        <w:t>هل سيكون المُلاك الصينيون الجدد مستعدين وقادرين على تصنيع ألواح ركوب الأمواج عالية الجودة ومبتكرة من مواد مستدامة وعضوية بنفس الطريقة التي كانت تتبعها شركتكِ؟</w:t>
      </w:r>
      <w:r>
        <w:t xml:space="preserve"> </w:t>
      </w:r>
      <w:r>
        <w:rPr>
          <w:rFonts w:hint="cs"/>
          <w:rtl/>
        </w:rPr>
        <w:t>آخر شيء تريدينه هو انخفاض جودة ومتانة ألواح التزلج على الأمواج بعد الاستحواذ، أو الأسوأ من ذلك، أن تبدأ الأصباغ في الجريان في مياه البحر بعد عامين.</w:t>
      </w:r>
      <w:r>
        <w:t xml:space="preserve"> </w:t>
      </w:r>
      <w:r>
        <w:rPr>
          <w:rFonts w:hint="cs"/>
          <w:rtl/>
        </w:rPr>
        <w:t>فأنت تؤمنين بالمتانة مدى الحياة، حيث إنها مبدأ أساسي لتكريم التقاليد البولينيزية القديمة بالإضافة إلى ضمان الاستدامة.</w:t>
      </w:r>
      <w:r>
        <w:t xml:space="preserve"> </w:t>
      </w:r>
      <w:r>
        <w:rPr>
          <w:rFonts w:hint="cs"/>
          <w:rtl/>
        </w:rPr>
        <w:t>ومن المهم للغاية بالنسبة لكِ التأكد من استمرار ألواح التزلج الصديقة للبيئة (</w:t>
      </w:r>
      <w:r>
        <w:t>Eco-Boards</w:t>
      </w:r>
      <w:r>
        <w:rPr>
          <w:rFonts w:hint="cs"/>
          <w:rtl/>
        </w:rPr>
        <w:t>) في وضع أعلى معايير الاستدامة في هذه الصناعة.</w:t>
      </w:r>
      <w:r>
        <w:t xml:space="preserve"> </w:t>
      </w:r>
      <w:r>
        <w:rPr>
          <w:rFonts w:hint="cs"/>
          <w:rtl/>
        </w:rPr>
        <w:t>تتوخين الحذر من بوجين ويفز وتفضلين المضي قدمًا بحذر لأنكِ غير متأكدة من دوافع ونوايا بوجين ويفز فيما يتعلق بشركة سيرفسوب.</w:t>
      </w:r>
      <w:r>
        <w:t xml:space="preserve"> </w:t>
      </w:r>
      <w:r>
        <w:rPr>
          <w:rFonts w:hint="cs"/>
          <w:rtl/>
        </w:rPr>
        <w:t>ولقد قررتِ التأكد من أنكِ وسارة ستظلان مشاركتين في أعمال سيرفسوب وتتوقعان الاستمرار في العمل كرئيستين مشتركتين لفرع سيرفسوب بعد عملية الاستحواذ.</w:t>
      </w:r>
      <w:r>
        <w:t xml:space="preserve"> </w:t>
      </w:r>
    </w:p>
    <w:p w14:paraId="5EF177FE" w14:textId="654B94A2" w:rsidR="00955771" w:rsidRPr="00473E8F" w:rsidRDefault="008F024F" w:rsidP="00473E8F">
      <w:pPr>
        <w:pStyle w:val="StandardParagraph"/>
        <w:bidi/>
        <w:rPr>
          <w:rtl/>
        </w:rPr>
      </w:pPr>
      <w:r>
        <w:rPr>
          <w:rFonts w:hint="cs"/>
          <w:rtl/>
        </w:rPr>
        <w:t>في الوقت نفسه، تدركين أن وجود تكتل كبير يسعى لمساعدتكِ على اقتحام الأسواق الآسيوية هو موقف تُحسدين عليه. وتعلمين أنه من الصعب محاولة اقتحام الأسواق الآسيوية بمفردكِ ككيان مؤسسي فردي، وسيكون من الأسهل بالتأكيد أن يكون لديكِ شريكِ أو قوة توجيهية لمساعدتكِ في اقتحام السوق الآسيوية.</w:t>
      </w:r>
      <w:r>
        <w:t xml:space="preserve"> </w:t>
      </w:r>
      <w:r>
        <w:rPr>
          <w:rFonts w:hint="cs"/>
          <w:rtl/>
        </w:rPr>
        <w:t>كما ستمنحكِ خبرة بوجين ويفز في مجال التصنيع والعمليات إمكانية الوصول إلى كفاءة إنتاجية أكبر، مما يوفر التكاليف في الأمد البعيد.</w:t>
      </w:r>
      <w:r>
        <w:t xml:space="preserve"> </w:t>
      </w:r>
      <w:r>
        <w:rPr>
          <w:rFonts w:hint="cs"/>
          <w:rtl/>
        </w:rPr>
        <w:t>يمكنكِ بالفعل سماع صوت سارة في رأسكِ وتعرفين أنها ستشير إلى جميع الفوائد المالية لهذا الاستحواذ.</w:t>
      </w:r>
      <w:r>
        <w:t xml:space="preserve"> </w:t>
      </w:r>
    </w:p>
    <w:p w14:paraId="312D0E26" w14:textId="45B319BD" w:rsidR="007F78AA" w:rsidRPr="00473E8F" w:rsidRDefault="008F024F" w:rsidP="00473E8F">
      <w:pPr>
        <w:pStyle w:val="StandardParagraph"/>
        <w:bidi/>
        <w:rPr>
          <w:rtl/>
        </w:rPr>
      </w:pPr>
      <w:r>
        <w:rPr>
          <w:rFonts w:hint="cs"/>
          <w:rtl/>
        </w:rPr>
        <w:t>عندما تدخلين المفاوضات، هذه هي القضايا التي تتصدر تفكيركِ:</w:t>
      </w:r>
      <w:r>
        <w:t xml:space="preserve"> </w:t>
      </w:r>
    </w:p>
    <w:p w14:paraId="0DBCE9AA" w14:textId="20DA71C7" w:rsidR="0019613B" w:rsidRPr="00473E8F" w:rsidRDefault="006F78BD" w:rsidP="00473E8F">
      <w:pPr>
        <w:pStyle w:val="Indent1"/>
        <w:numPr>
          <w:ilvl w:val="0"/>
          <w:numId w:val="1"/>
        </w:numPr>
        <w:bidi/>
        <w:ind w:left="425" w:hanging="425"/>
        <w:rPr>
          <w:rFonts w:ascii="Arial" w:hAnsi="Arial" w:cs="Arial"/>
          <w:szCs w:val="22"/>
          <w:rtl/>
        </w:rPr>
      </w:pPr>
      <w:r>
        <w:rPr>
          <w:rFonts w:ascii="Arial" w:hAnsi="Arial" w:hint="cs"/>
          <w:b/>
          <w:bCs/>
          <w:rtl/>
        </w:rPr>
        <w:t>التأكد من احتفاظ سيرفسوب بقيمها الصديقة للبيئة.</w:t>
      </w:r>
      <w:r>
        <w:rPr>
          <w:rFonts w:ascii="Arial" w:hAnsi="Arial"/>
        </w:rPr>
        <w:t xml:space="preserve"> </w:t>
      </w:r>
      <w:r>
        <w:rPr>
          <w:rFonts w:ascii="Arial" w:hAnsi="Arial" w:hint="cs"/>
          <w:rtl/>
        </w:rPr>
        <w:t xml:space="preserve">تتمثل أولويتكِ القصوى في ضمان المعايير البيئية الصارمة التي </w:t>
      </w:r>
      <w:r>
        <w:rPr>
          <w:rFonts w:hint="cs"/>
          <w:rtl/>
        </w:rPr>
        <w:t>تشتهر</w:t>
      </w:r>
      <w:r>
        <w:rPr>
          <w:rFonts w:ascii="Arial" w:hAnsi="Arial" w:hint="cs"/>
          <w:rtl/>
        </w:rPr>
        <w:t xml:space="preserve"> بها ألواح التزلج الصديقة للبيئة (</w:t>
      </w:r>
      <w:r>
        <w:rPr>
          <w:rFonts w:ascii="Arial" w:hAnsi="Arial"/>
        </w:rPr>
        <w:t>Eco-Boards</w:t>
      </w:r>
      <w:r>
        <w:rPr>
          <w:rFonts w:ascii="Arial" w:hAnsi="Arial" w:hint="cs"/>
          <w:rtl/>
        </w:rPr>
        <w:t>).</w:t>
      </w:r>
      <w:r>
        <w:rPr>
          <w:rFonts w:ascii="Arial" w:hAnsi="Arial"/>
        </w:rPr>
        <w:t xml:space="preserve"> </w:t>
      </w:r>
      <w:r>
        <w:rPr>
          <w:rFonts w:ascii="Arial" w:hAnsi="Arial" w:hint="cs"/>
          <w:rtl/>
        </w:rPr>
        <w:t>إحدى الطرق لضمان ذلك هي البقاء بصفتك مساهمة قوية في العمل.</w:t>
      </w:r>
      <w:r>
        <w:rPr>
          <w:rFonts w:ascii="Arial" w:hAnsi="Arial"/>
        </w:rPr>
        <w:t xml:space="preserve"> </w:t>
      </w:r>
      <w:r>
        <w:rPr>
          <w:rFonts w:ascii="Arial" w:hAnsi="Arial" w:hint="cs"/>
          <w:rtl/>
        </w:rPr>
        <w:t>لذلك، تهدفين أنتِ وسارة إلى الاستمرار في قيادة فرع سيرفسوب بعد عملية الاستحواذ.</w:t>
      </w:r>
      <w:r>
        <w:rPr>
          <w:rFonts w:ascii="Arial" w:hAnsi="Arial"/>
        </w:rPr>
        <w:t xml:space="preserve"> </w:t>
      </w:r>
    </w:p>
    <w:p w14:paraId="03DB0160" w14:textId="4E57EAB4" w:rsidR="007F78AA" w:rsidRPr="00473E8F" w:rsidRDefault="00170B2A" w:rsidP="00473E8F">
      <w:pPr>
        <w:pStyle w:val="Indent1"/>
        <w:numPr>
          <w:ilvl w:val="0"/>
          <w:numId w:val="1"/>
        </w:numPr>
        <w:bidi/>
        <w:ind w:left="425" w:hanging="425"/>
        <w:rPr>
          <w:rFonts w:ascii="Arial" w:hAnsi="Arial" w:cs="Arial"/>
          <w:i/>
          <w:szCs w:val="22"/>
          <w:rtl/>
        </w:rPr>
      </w:pPr>
      <w:r>
        <w:rPr>
          <w:rFonts w:ascii="Arial" w:hAnsi="Arial" w:hint="cs"/>
          <w:b/>
          <w:bCs/>
          <w:rtl/>
        </w:rPr>
        <w:t>خطوات ملموسة من بوجين ويفز للتحول إلى شركة صديقة للبيئة.</w:t>
      </w:r>
      <w:r>
        <w:rPr>
          <w:rFonts w:ascii="Arial" w:hAnsi="Arial"/>
          <w:b/>
          <w:bCs/>
          <w:i/>
          <w:iCs/>
        </w:rPr>
        <w:t xml:space="preserve"> </w:t>
      </w:r>
      <w:r>
        <w:rPr>
          <w:rFonts w:ascii="Arial" w:hAnsi="Arial" w:hint="cs"/>
          <w:rtl/>
        </w:rPr>
        <w:t>تتوقعين أن تستثمر بوجين ويفز ما لا يقل عن 2 مليون دولار أسترالي في العام المقبل للحصول على شهادة العلامة الخضراء، ومن الأفضل أن تستثمر مبلغًا أكبر من ذلك.</w:t>
      </w:r>
      <w:r>
        <w:rPr>
          <w:rFonts w:ascii="Arial" w:hAnsi="Arial"/>
        </w:rPr>
        <w:t xml:space="preserve"> </w:t>
      </w:r>
      <w:r>
        <w:rPr>
          <w:rFonts w:ascii="Arial" w:hAnsi="Arial" w:hint="cs"/>
          <w:rtl/>
        </w:rPr>
        <w:t>وتعلمين أن هذا من شأنه أن يزيد من التكاليف بالنسبة لهم ولكنكِ على استعداد لقبول سعر إجمالي أقل مقابل شركة سيرفسوب، وربما تحدين أيضًا من المشاركة المستقبلية وقوة اتخاذ القرار، إذا تمكنتِ من الحصول على التزامهم بالحصول على شهادة العلامة الخضراء.</w:t>
      </w:r>
    </w:p>
    <w:p w14:paraId="200AC292" w14:textId="4F93F338" w:rsidR="00414E44" w:rsidRPr="00473E8F" w:rsidRDefault="005D2868" w:rsidP="00473E8F">
      <w:pPr>
        <w:pStyle w:val="Indent1"/>
        <w:numPr>
          <w:ilvl w:val="0"/>
          <w:numId w:val="1"/>
        </w:numPr>
        <w:bidi/>
        <w:ind w:left="425" w:hanging="425"/>
        <w:rPr>
          <w:rFonts w:ascii="Arial" w:hAnsi="Arial" w:cs="Arial"/>
          <w:i/>
          <w:szCs w:val="22"/>
          <w:rtl/>
        </w:rPr>
      </w:pPr>
      <w:r>
        <w:rPr>
          <w:rFonts w:ascii="Arial" w:hAnsi="Arial" w:hint="cs"/>
          <w:b/>
          <w:bCs/>
          <w:rtl/>
        </w:rPr>
        <w:t>توسيع نطاق سيرفسوب.</w:t>
      </w:r>
      <w:r>
        <w:rPr>
          <w:rFonts w:ascii="Arial" w:hAnsi="Arial"/>
          <w:b/>
          <w:bCs/>
        </w:rPr>
        <w:t xml:space="preserve"> </w:t>
      </w:r>
      <w:r>
        <w:rPr>
          <w:rFonts w:ascii="Arial" w:hAnsi="Arial" w:hint="cs"/>
          <w:rtl/>
        </w:rPr>
        <w:t>طالما يمكنكِ الحفاظ على هوية سيرفسوب الأساسية وقيمها كشركة تهتم بالبيئة، فسترغبين في التوسع عالميًا، بدءًا من دخول منطقة آسيا والمحيط الهادئ.</w:t>
      </w:r>
      <w:r>
        <w:rPr>
          <w:rFonts w:ascii="Arial" w:hAnsi="Arial"/>
        </w:rPr>
        <w:t xml:space="preserve"> </w:t>
      </w:r>
      <w:r>
        <w:rPr>
          <w:rFonts w:ascii="Arial" w:hAnsi="Arial" w:hint="cs"/>
          <w:rtl/>
        </w:rPr>
        <w:t xml:space="preserve">وستكون </w:t>
      </w:r>
      <w:r>
        <w:rPr>
          <w:rFonts w:hint="cs"/>
          <w:rtl/>
        </w:rPr>
        <w:t>الشراكة</w:t>
      </w:r>
      <w:r>
        <w:rPr>
          <w:rFonts w:ascii="Arial" w:hAnsi="Arial" w:hint="cs"/>
          <w:rtl/>
        </w:rPr>
        <w:t xml:space="preserve"> مع بوجين ويفز طريقة مباشرة لتحقيق ذلك الأمر.</w:t>
      </w:r>
      <w:r>
        <w:rPr>
          <w:rFonts w:ascii="Arial" w:hAnsi="Arial"/>
        </w:rPr>
        <w:t xml:space="preserve"> </w:t>
      </w:r>
    </w:p>
    <w:p w14:paraId="54F1CF3E" w14:textId="7BB44DDC" w:rsidR="00792CEB" w:rsidRPr="00473E8F" w:rsidRDefault="00E47130" w:rsidP="00473E8F">
      <w:pPr>
        <w:pStyle w:val="Indent1"/>
        <w:numPr>
          <w:ilvl w:val="0"/>
          <w:numId w:val="1"/>
        </w:numPr>
        <w:bidi/>
        <w:ind w:left="425" w:hanging="425"/>
        <w:rPr>
          <w:rFonts w:ascii="Arial" w:hAnsi="Arial" w:cs="Arial"/>
          <w:b/>
          <w:bCs/>
          <w:iCs/>
          <w:szCs w:val="22"/>
          <w:rtl/>
        </w:rPr>
      </w:pPr>
      <w:r>
        <w:rPr>
          <w:rFonts w:ascii="Arial" w:hAnsi="Arial" w:hint="cs"/>
          <w:b/>
          <w:bCs/>
          <w:rtl/>
        </w:rPr>
        <w:t>الحفاظ على علاقة إيجابية مع أختكِ.</w:t>
      </w:r>
      <w:r>
        <w:rPr>
          <w:rFonts w:ascii="Arial" w:hAnsi="Arial"/>
          <w:b/>
          <w:bCs/>
        </w:rPr>
        <w:t xml:space="preserve"> </w:t>
      </w:r>
      <w:r>
        <w:rPr>
          <w:rFonts w:ascii="Arial" w:hAnsi="Arial" w:hint="cs"/>
          <w:rtl/>
        </w:rPr>
        <w:t>سارة هي واحدة من أقرب وأهم الأشخاص في حياتكِ.</w:t>
      </w:r>
      <w:r>
        <w:rPr>
          <w:rFonts w:ascii="Arial" w:hAnsi="Arial"/>
        </w:rPr>
        <w:t xml:space="preserve"> </w:t>
      </w:r>
      <w:r>
        <w:rPr>
          <w:rFonts w:ascii="Arial" w:hAnsi="Arial" w:hint="cs"/>
          <w:rtl/>
        </w:rPr>
        <w:t xml:space="preserve">وبالتالي، تأملين في إنهاء هذه المفاوضات مع وجود علاقة طيبة مع أختكِ لا تقل </w:t>
      </w:r>
      <w:r>
        <w:rPr>
          <w:rFonts w:hint="cs"/>
          <w:rtl/>
        </w:rPr>
        <w:t>جودة</w:t>
      </w:r>
      <w:r>
        <w:rPr>
          <w:rFonts w:ascii="Arial" w:hAnsi="Arial" w:hint="cs"/>
          <w:rtl/>
        </w:rPr>
        <w:t>، عن ذي قبل، إن لم تكن أقوى.</w:t>
      </w:r>
      <w:r>
        <w:rPr>
          <w:rFonts w:ascii="Arial" w:hAnsi="Arial"/>
        </w:rPr>
        <w:t xml:space="preserve"> </w:t>
      </w:r>
      <w:r>
        <w:rPr>
          <w:rFonts w:ascii="Arial" w:hAnsi="Arial" w:hint="cs"/>
          <w:rtl/>
        </w:rPr>
        <w:t>كما تأملين في بناء علاقات جيدة مع مفاوضي بوجين ويفز حيث ستكونون شركاء وزملاء بعد الاستحواذ.</w:t>
      </w:r>
      <w:r>
        <w:rPr>
          <w:rFonts w:ascii="Arial" w:hAnsi="Arial"/>
        </w:rPr>
        <w:t xml:space="preserve"> </w:t>
      </w:r>
    </w:p>
    <w:p w14:paraId="7445C180" w14:textId="5331DB9E" w:rsidR="001000D6" w:rsidRPr="00473E8F" w:rsidRDefault="00792CEB" w:rsidP="00473E8F">
      <w:pPr>
        <w:pStyle w:val="Indent1"/>
        <w:numPr>
          <w:ilvl w:val="0"/>
          <w:numId w:val="1"/>
        </w:numPr>
        <w:bidi/>
        <w:ind w:left="425" w:hanging="425"/>
        <w:rPr>
          <w:rFonts w:ascii="Arial" w:hAnsi="Arial" w:cs="Arial"/>
          <w:iCs/>
          <w:szCs w:val="22"/>
          <w:rtl/>
        </w:rPr>
      </w:pPr>
      <w:r>
        <w:rPr>
          <w:rFonts w:ascii="Arial" w:hAnsi="Arial" w:hint="cs"/>
          <w:b/>
          <w:bCs/>
          <w:rtl/>
        </w:rPr>
        <w:t>الحصول على سعر عادل مقابل شركة سيرفسوب.</w:t>
      </w:r>
      <w:r>
        <w:rPr>
          <w:rFonts w:ascii="Arial" w:hAnsi="Arial"/>
          <w:b/>
          <w:bCs/>
        </w:rPr>
        <w:t xml:space="preserve"> </w:t>
      </w:r>
      <w:r>
        <w:rPr>
          <w:rFonts w:ascii="Arial" w:hAnsi="Arial" w:hint="cs"/>
          <w:rtl/>
        </w:rPr>
        <w:t>على الرغم من أن المال لم يكن الدافع الرئيسي بالنسبة لكِ</w:t>
      </w:r>
      <w:r>
        <w:rPr>
          <w:rFonts w:ascii="Arial" w:hAnsi="Arial" w:hint="cs"/>
          <w:b/>
          <w:bCs/>
          <w:rtl/>
        </w:rPr>
        <w:t xml:space="preserve">، </w:t>
      </w:r>
      <w:r>
        <w:rPr>
          <w:rFonts w:ascii="Arial" w:hAnsi="Arial" w:hint="cs"/>
          <w:rtl/>
        </w:rPr>
        <w:t xml:space="preserve">إلا أنه في حالة بيع شركتكِ الحبيبة لشركة بوجين ويفز، فمن المؤكد أنكِ ترغبين في الحصول على سعر عادل بعد سنوات </w:t>
      </w:r>
      <w:r>
        <w:rPr>
          <w:rFonts w:hint="cs"/>
          <w:rtl/>
        </w:rPr>
        <w:t>العمل</w:t>
      </w:r>
      <w:r>
        <w:rPr>
          <w:rFonts w:ascii="Arial" w:hAnsi="Arial" w:hint="cs"/>
          <w:rtl/>
        </w:rPr>
        <w:t xml:space="preserve"> التي استثمرتِها.</w:t>
      </w:r>
      <w:r>
        <w:rPr>
          <w:rFonts w:ascii="Arial" w:hAnsi="Arial"/>
        </w:rPr>
        <w:t xml:space="preserve"> </w:t>
      </w:r>
      <w:r>
        <w:rPr>
          <w:rFonts w:ascii="Arial" w:hAnsi="Arial" w:hint="cs"/>
          <w:rtl/>
        </w:rPr>
        <w:t>ولهذا الغرض، قمتِ بتعيين شركة استشارية مرموقة للحصول على نظرة شاملة على البيانات المالية لشركة سيرفسوب بالإضافة إلى توقعاتٍ لعملياتها.</w:t>
      </w:r>
      <w:r>
        <w:rPr>
          <w:rFonts w:ascii="Arial" w:hAnsi="Arial"/>
        </w:rPr>
        <w:t xml:space="preserve"> </w:t>
      </w:r>
      <w:r>
        <w:rPr>
          <w:rFonts w:ascii="Arial" w:hAnsi="Arial" w:hint="cs"/>
          <w:rtl/>
        </w:rPr>
        <w:t>تم تلخيص هذه الأرقام في المستند 1 و2.</w:t>
      </w:r>
    </w:p>
    <w:p w14:paraId="5A57410D" w14:textId="105C815B" w:rsidR="001000D6" w:rsidRPr="00473E8F" w:rsidRDefault="00A943DD" w:rsidP="00473E8F">
      <w:pPr>
        <w:pStyle w:val="StandardParagraph"/>
        <w:bidi/>
        <w:rPr>
          <w:rtl/>
        </w:rPr>
      </w:pPr>
      <w:r>
        <w:rPr>
          <w:rFonts w:hint="cs"/>
          <w:rtl/>
        </w:rPr>
        <w:t>استعدي لاجتماعكِ مع سارة (المديرة المالية)، ثم انتقلي إلى المفاوضات بين الفريقين مع ممثلي بوجين ويفز، جيايي تشانغ من (الاندماج والاستحواذ) ورويان بينج من (العلاقات العامة).</w:t>
      </w:r>
      <w:bookmarkStart w:id="9" w:name="_ji8if0sbgu3b"/>
      <w:bookmarkEnd w:id="9"/>
    </w:p>
    <w:p w14:paraId="26C473D4" w14:textId="77777777" w:rsidR="00955771" w:rsidRDefault="00955771">
      <w:pPr>
        <w:bidi/>
        <w:spacing w:line="276" w:lineRule="auto"/>
        <w:rPr>
          <w:rFonts w:ascii="Arial" w:hAnsi="Arial" w:cs="Arial"/>
          <w:b/>
          <w:color w:val="000000" w:themeColor="text1"/>
          <w:u w:val="single"/>
          <w:rtl/>
        </w:rPr>
      </w:pPr>
      <w:r>
        <w:rPr>
          <w:rFonts w:hint="cs"/>
          <w:rtl/>
        </w:rPr>
        <w:br w:type="page"/>
      </w:r>
    </w:p>
    <w:p w14:paraId="13A4A158" w14:textId="77777777" w:rsidR="00473E8F" w:rsidRPr="00473E8F" w:rsidRDefault="001000D6" w:rsidP="00473E8F">
      <w:pPr>
        <w:pStyle w:val="Exhibitno"/>
        <w:bidi/>
        <w:rPr>
          <w:rtl/>
        </w:rPr>
      </w:pPr>
      <w:r>
        <w:rPr>
          <w:rFonts w:hint="cs"/>
          <w:rtl/>
        </w:rPr>
        <w:lastRenderedPageBreak/>
        <w:t>المستند 1</w:t>
      </w:r>
    </w:p>
    <w:p w14:paraId="4212AEE0" w14:textId="78CAB592" w:rsidR="001000D6" w:rsidRPr="00473E8F" w:rsidRDefault="001000D6" w:rsidP="00473E8F">
      <w:pPr>
        <w:pStyle w:val="Exhibittitle"/>
        <w:bidi/>
        <w:rPr>
          <w:rtl/>
        </w:rPr>
      </w:pPr>
      <w:r>
        <w:rPr>
          <w:rFonts w:hint="cs"/>
          <w:rtl/>
        </w:rPr>
        <w:t>البيانات المالية لشركة سيرفسوب</w:t>
      </w:r>
    </w:p>
    <w:tbl>
      <w:tblPr>
        <w:bidiVisual/>
        <w:tblW w:w="8172" w:type="dxa"/>
        <w:jc w:val="center"/>
        <w:tblLayout w:type="fixed"/>
        <w:tblLook w:val="01E0" w:firstRow="1" w:lastRow="1" w:firstColumn="1" w:lastColumn="1" w:noHBand="0" w:noVBand="0"/>
      </w:tblPr>
      <w:tblGrid>
        <w:gridCol w:w="2340"/>
        <w:gridCol w:w="1140"/>
        <w:gridCol w:w="1200"/>
        <w:gridCol w:w="2040"/>
        <w:gridCol w:w="12"/>
        <w:gridCol w:w="1170"/>
        <w:gridCol w:w="18"/>
        <w:gridCol w:w="252"/>
      </w:tblGrid>
      <w:tr w:rsidR="001000D6" w:rsidRPr="00EC32B5" w14:paraId="157ADD7D" w14:textId="77777777" w:rsidTr="00B72689">
        <w:trPr>
          <w:trHeight w:val="230"/>
          <w:jc w:val="center"/>
        </w:trPr>
        <w:tc>
          <w:tcPr>
            <w:tcW w:w="8172" w:type="dxa"/>
            <w:gridSpan w:val="8"/>
            <w:tcBorders>
              <w:top w:val="single" w:sz="4" w:space="0" w:color="auto"/>
            </w:tcBorders>
            <w:shd w:val="clear" w:color="auto" w:fill="E0E0E0"/>
          </w:tcPr>
          <w:p w14:paraId="699F0B21" w14:textId="4AFD6BB2" w:rsidR="001000D6" w:rsidRPr="00EC32B5" w:rsidRDefault="001000D6" w:rsidP="00B72689">
            <w:pPr>
              <w:bidi/>
              <w:spacing w:line="288" w:lineRule="auto"/>
              <w:jc w:val="center"/>
              <w:rPr>
                <w:rFonts w:ascii="Roboto" w:hAnsi="Roboto" w:cs="Arial"/>
                <w:b/>
                <w:sz w:val="22"/>
                <w:szCs w:val="22"/>
                <w:rtl/>
              </w:rPr>
            </w:pPr>
            <w:r>
              <w:rPr>
                <w:rFonts w:ascii="Roboto" w:hAnsi="Roboto" w:hint="cs"/>
                <w:b/>
                <w:bCs/>
                <w:sz w:val="22"/>
                <w:szCs w:val="22"/>
                <w:rtl/>
              </w:rPr>
              <w:t>الميزانية العمومية (آخر سنة مالية، بالآلاف من الدولارات الأسترالية)</w:t>
            </w:r>
          </w:p>
        </w:tc>
      </w:tr>
      <w:tr w:rsidR="001000D6" w:rsidRPr="00EC32B5" w14:paraId="654BE6F2" w14:textId="77777777" w:rsidTr="00B72689">
        <w:trPr>
          <w:jc w:val="center"/>
        </w:trPr>
        <w:tc>
          <w:tcPr>
            <w:tcW w:w="2340" w:type="dxa"/>
            <w:shd w:val="clear" w:color="auto" w:fill="auto"/>
            <w:vAlign w:val="bottom"/>
          </w:tcPr>
          <w:p w14:paraId="258FB87D"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النقدية وما يعادلها</w:t>
            </w:r>
          </w:p>
        </w:tc>
        <w:tc>
          <w:tcPr>
            <w:tcW w:w="1140" w:type="dxa"/>
            <w:shd w:val="clear" w:color="auto" w:fill="auto"/>
            <w:vAlign w:val="bottom"/>
          </w:tcPr>
          <w:p w14:paraId="15A5501B"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408</w:t>
            </w:r>
          </w:p>
        </w:tc>
        <w:tc>
          <w:tcPr>
            <w:tcW w:w="1200" w:type="dxa"/>
            <w:shd w:val="clear" w:color="auto" w:fill="auto"/>
            <w:vAlign w:val="bottom"/>
          </w:tcPr>
          <w:p w14:paraId="01FED43C" w14:textId="77777777" w:rsidR="001000D6" w:rsidRPr="00EC32B5" w:rsidRDefault="001000D6" w:rsidP="00B72689">
            <w:pPr>
              <w:spacing w:line="288" w:lineRule="auto"/>
              <w:jc w:val="center"/>
              <w:rPr>
                <w:rFonts w:ascii="Roboto" w:hAnsi="Roboto" w:cs="Arial"/>
                <w:sz w:val="22"/>
                <w:szCs w:val="22"/>
              </w:rPr>
            </w:pPr>
          </w:p>
        </w:tc>
        <w:tc>
          <w:tcPr>
            <w:tcW w:w="2040" w:type="dxa"/>
            <w:shd w:val="clear" w:color="auto" w:fill="auto"/>
            <w:vAlign w:val="bottom"/>
          </w:tcPr>
          <w:p w14:paraId="2820ACA8"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الحسابات الدائنة</w:t>
            </w:r>
          </w:p>
        </w:tc>
        <w:tc>
          <w:tcPr>
            <w:tcW w:w="1200" w:type="dxa"/>
            <w:gridSpan w:val="3"/>
            <w:shd w:val="clear" w:color="auto" w:fill="auto"/>
            <w:vAlign w:val="bottom"/>
          </w:tcPr>
          <w:p w14:paraId="088C7EFB"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439</w:t>
            </w:r>
          </w:p>
        </w:tc>
        <w:tc>
          <w:tcPr>
            <w:tcW w:w="252" w:type="dxa"/>
            <w:shd w:val="clear" w:color="auto" w:fill="auto"/>
            <w:vAlign w:val="bottom"/>
          </w:tcPr>
          <w:p w14:paraId="10F0146A" w14:textId="77777777" w:rsidR="001000D6" w:rsidRPr="00EC32B5" w:rsidRDefault="001000D6" w:rsidP="00B72689">
            <w:pPr>
              <w:spacing w:line="288" w:lineRule="auto"/>
              <w:jc w:val="center"/>
              <w:rPr>
                <w:rFonts w:ascii="Roboto" w:hAnsi="Roboto" w:cs="Arial"/>
              </w:rPr>
            </w:pPr>
          </w:p>
        </w:tc>
      </w:tr>
      <w:tr w:rsidR="001000D6" w:rsidRPr="00EC32B5" w14:paraId="2851FF0E" w14:textId="77777777" w:rsidTr="00B72689">
        <w:trPr>
          <w:jc w:val="center"/>
        </w:trPr>
        <w:tc>
          <w:tcPr>
            <w:tcW w:w="2340" w:type="dxa"/>
            <w:shd w:val="clear" w:color="auto" w:fill="auto"/>
            <w:vAlign w:val="bottom"/>
          </w:tcPr>
          <w:p w14:paraId="2BE7B3D9"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الحسابات المستحقة</w:t>
            </w:r>
          </w:p>
        </w:tc>
        <w:tc>
          <w:tcPr>
            <w:tcW w:w="1140" w:type="dxa"/>
            <w:shd w:val="clear" w:color="auto" w:fill="auto"/>
            <w:vAlign w:val="bottom"/>
          </w:tcPr>
          <w:p w14:paraId="72EB4ED1"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1280</w:t>
            </w:r>
          </w:p>
        </w:tc>
        <w:tc>
          <w:tcPr>
            <w:tcW w:w="1200" w:type="dxa"/>
            <w:shd w:val="clear" w:color="auto" w:fill="auto"/>
            <w:vAlign w:val="bottom"/>
          </w:tcPr>
          <w:p w14:paraId="483B909A" w14:textId="77777777" w:rsidR="001000D6" w:rsidRPr="00EC32B5" w:rsidRDefault="001000D6" w:rsidP="00B72689">
            <w:pPr>
              <w:spacing w:line="288" w:lineRule="auto"/>
              <w:jc w:val="center"/>
              <w:rPr>
                <w:rFonts w:ascii="Roboto" w:hAnsi="Roboto" w:cs="Arial"/>
                <w:sz w:val="22"/>
                <w:szCs w:val="22"/>
              </w:rPr>
            </w:pPr>
          </w:p>
        </w:tc>
        <w:tc>
          <w:tcPr>
            <w:tcW w:w="2040" w:type="dxa"/>
            <w:shd w:val="clear" w:color="auto" w:fill="auto"/>
            <w:vAlign w:val="bottom"/>
          </w:tcPr>
          <w:p w14:paraId="30273458" w14:textId="77777777" w:rsidR="001000D6" w:rsidRPr="00EC32B5" w:rsidRDefault="001000D6" w:rsidP="00B72689">
            <w:pPr>
              <w:spacing w:line="288" w:lineRule="auto"/>
              <w:rPr>
                <w:rFonts w:ascii="Roboto" w:hAnsi="Roboto" w:cs="Arial"/>
                <w:sz w:val="22"/>
                <w:szCs w:val="22"/>
              </w:rPr>
            </w:pPr>
          </w:p>
        </w:tc>
        <w:tc>
          <w:tcPr>
            <w:tcW w:w="1200" w:type="dxa"/>
            <w:gridSpan w:val="3"/>
            <w:shd w:val="clear" w:color="auto" w:fill="auto"/>
            <w:vAlign w:val="bottom"/>
          </w:tcPr>
          <w:p w14:paraId="6B0FE9FC" w14:textId="77777777" w:rsidR="001000D6" w:rsidRPr="00EC32B5" w:rsidRDefault="001000D6" w:rsidP="00B72689">
            <w:pPr>
              <w:spacing w:line="288" w:lineRule="auto"/>
              <w:jc w:val="right"/>
              <w:rPr>
                <w:rFonts w:ascii="Roboto" w:hAnsi="Roboto" w:cs="Arial"/>
                <w:sz w:val="22"/>
                <w:szCs w:val="22"/>
              </w:rPr>
            </w:pPr>
          </w:p>
        </w:tc>
        <w:tc>
          <w:tcPr>
            <w:tcW w:w="252" w:type="dxa"/>
            <w:shd w:val="clear" w:color="auto" w:fill="auto"/>
            <w:vAlign w:val="bottom"/>
          </w:tcPr>
          <w:p w14:paraId="5C905677" w14:textId="77777777" w:rsidR="001000D6" w:rsidRPr="00EC32B5" w:rsidRDefault="001000D6" w:rsidP="00B72689">
            <w:pPr>
              <w:spacing w:line="288" w:lineRule="auto"/>
              <w:jc w:val="center"/>
              <w:rPr>
                <w:rFonts w:ascii="Roboto" w:hAnsi="Roboto" w:cs="Arial"/>
              </w:rPr>
            </w:pPr>
          </w:p>
        </w:tc>
      </w:tr>
      <w:tr w:rsidR="001000D6" w:rsidRPr="00EC32B5" w14:paraId="412422CC" w14:textId="77777777" w:rsidTr="00B72689">
        <w:trPr>
          <w:jc w:val="center"/>
        </w:trPr>
        <w:tc>
          <w:tcPr>
            <w:tcW w:w="2340" w:type="dxa"/>
            <w:shd w:val="clear" w:color="auto" w:fill="auto"/>
            <w:vAlign w:val="bottom"/>
          </w:tcPr>
          <w:p w14:paraId="6CB27E2C"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المخزونات</w:t>
            </w:r>
          </w:p>
        </w:tc>
        <w:tc>
          <w:tcPr>
            <w:tcW w:w="1140" w:type="dxa"/>
            <w:shd w:val="clear" w:color="auto" w:fill="auto"/>
            <w:vAlign w:val="bottom"/>
          </w:tcPr>
          <w:p w14:paraId="169F3FC5"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838</w:t>
            </w:r>
          </w:p>
        </w:tc>
        <w:tc>
          <w:tcPr>
            <w:tcW w:w="1200" w:type="dxa"/>
            <w:shd w:val="clear" w:color="auto" w:fill="auto"/>
            <w:vAlign w:val="bottom"/>
          </w:tcPr>
          <w:p w14:paraId="765E1DB0" w14:textId="77777777" w:rsidR="001000D6" w:rsidRPr="00EC32B5" w:rsidRDefault="001000D6" w:rsidP="00B72689">
            <w:pPr>
              <w:spacing w:line="288" w:lineRule="auto"/>
              <w:jc w:val="center"/>
              <w:rPr>
                <w:rFonts w:ascii="Roboto" w:hAnsi="Roboto" w:cs="Arial"/>
                <w:sz w:val="22"/>
                <w:szCs w:val="22"/>
              </w:rPr>
            </w:pPr>
          </w:p>
        </w:tc>
        <w:tc>
          <w:tcPr>
            <w:tcW w:w="2040" w:type="dxa"/>
            <w:shd w:val="clear" w:color="auto" w:fill="auto"/>
            <w:vAlign w:val="bottom"/>
          </w:tcPr>
          <w:p w14:paraId="13A5E0D3"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رأس المال المدين</w:t>
            </w:r>
          </w:p>
        </w:tc>
        <w:tc>
          <w:tcPr>
            <w:tcW w:w="1200" w:type="dxa"/>
            <w:gridSpan w:val="3"/>
            <w:shd w:val="clear" w:color="auto" w:fill="auto"/>
            <w:vAlign w:val="bottom"/>
          </w:tcPr>
          <w:p w14:paraId="5DAECA1B"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w:t>
            </w:r>
          </w:p>
        </w:tc>
        <w:tc>
          <w:tcPr>
            <w:tcW w:w="252" w:type="dxa"/>
            <w:shd w:val="clear" w:color="auto" w:fill="auto"/>
            <w:vAlign w:val="bottom"/>
          </w:tcPr>
          <w:p w14:paraId="158C4447" w14:textId="77777777" w:rsidR="001000D6" w:rsidRPr="00EC32B5" w:rsidRDefault="001000D6" w:rsidP="00B72689">
            <w:pPr>
              <w:spacing w:line="288" w:lineRule="auto"/>
              <w:jc w:val="center"/>
              <w:rPr>
                <w:rFonts w:ascii="Roboto" w:hAnsi="Roboto" w:cs="Arial"/>
              </w:rPr>
            </w:pPr>
          </w:p>
        </w:tc>
      </w:tr>
      <w:tr w:rsidR="001000D6" w:rsidRPr="00EC32B5" w14:paraId="12197EEC" w14:textId="77777777" w:rsidTr="00B72689">
        <w:trPr>
          <w:jc w:val="center"/>
        </w:trPr>
        <w:tc>
          <w:tcPr>
            <w:tcW w:w="2340" w:type="dxa"/>
            <w:shd w:val="clear" w:color="auto" w:fill="auto"/>
            <w:vAlign w:val="bottom"/>
          </w:tcPr>
          <w:p w14:paraId="2257BF22"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الممتلكات والمنشآت والمعدات</w:t>
            </w:r>
          </w:p>
        </w:tc>
        <w:tc>
          <w:tcPr>
            <w:tcW w:w="1140" w:type="dxa"/>
            <w:tcBorders>
              <w:bottom w:val="single" w:sz="4" w:space="0" w:color="auto"/>
            </w:tcBorders>
            <w:shd w:val="clear" w:color="auto" w:fill="auto"/>
            <w:vAlign w:val="bottom"/>
          </w:tcPr>
          <w:p w14:paraId="1B4C38B8"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8335</w:t>
            </w:r>
          </w:p>
        </w:tc>
        <w:tc>
          <w:tcPr>
            <w:tcW w:w="1200" w:type="dxa"/>
            <w:shd w:val="clear" w:color="auto" w:fill="auto"/>
            <w:vAlign w:val="bottom"/>
          </w:tcPr>
          <w:p w14:paraId="5628BB9E" w14:textId="77777777" w:rsidR="001000D6" w:rsidRPr="00EC32B5" w:rsidRDefault="001000D6" w:rsidP="00B72689">
            <w:pPr>
              <w:spacing w:line="288" w:lineRule="auto"/>
              <w:jc w:val="center"/>
              <w:rPr>
                <w:rFonts w:ascii="Roboto" w:hAnsi="Roboto" w:cs="Arial"/>
                <w:sz w:val="22"/>
                <w:szCs w:val="22"/>
              </w:rPr>
            </w:pPr>
          </w:p>
        </w:tc>
        <w:tc>
          <w:tcPr>
            <w:tcW w:w="2040" w:type="dxa"/>
            <w:shd w:val="clear" w:color="auto" w:fill="auto"/>
            <w:vAlign w:val="bottom"/>
          </w:tcPr>
          <w:p w14:paraId="73B26EE4"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أسهم رأس المال</w:t>
            </w:r>
          </w:p>
        </w:tc>
        <w:tc>
          <w:tcPr>
            <w:tcW w:w="1200" w:type="dxa"/>
            <w:gridSpan w:val="3"/>
            <w:tcBorders>
              <w:bottom w:val="single" w:sz="4" w:space="0" w:color="auto"/>
            </w:tcBorders>
            <w:shd w:val="clear" w:color="auto" w:fill="auto"/>
            <w:vAlign w:val="bottom"/>
          </w:tcPr>
          <w:p w14:paraId="1F552082"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10422</w:t>
            </w:r>
          </w:p>
        </w:tc>
        <w:tc>
          <w:tcPr>
            <w:tcW w:w="252" w:type="dxa"/>
            <w:shd w:val="clear" w:color="auto" w:fill="auto"/>
            <w:vAlign w:val="bottom"/>
          </w:tcPr>
          <w:p w14:paraId="1FCCE27C" w14:textId="77777777" w:rsidR="001000D6" w:rsidRPr="00EC32B5" w:rsidRDefault="001000D6" w:rsidP="00B72689">
            <w:pPr>
              <w:spacing w:line="288" w:lineRule="auto"/>
              <w:jc w:val="center"/>
              <w:rPr>
                <w:rFonts w:ascii="Roboto" w:hAnsi="Roboto" w:cs="Arial"/>
              </w:rPr>
            </w:pPr>
          </w:p>
        </w:tc>
      </w:tr>
      <w:tr w:rsidR="001000D6" w:rsidRPr="00EC32B5" w14:paraId="04A19E42" w14:textId="77777777" w:rsidTr="00B72689">
        <w:trPr>
          <w:jc w:val="center"/>
        </w:trPr>
        <w:tc>
          <w:tcPr>
            <w:tcW w:w="2340" w:type="dxa"/>
            <w:tcBorders>
              <w:bottom w:val="single" w:sz="4" w:space="0" w:color="auto"/>
            </w:tcBorders>
            <w:shd w:val="clear" w:color="auto" w:fill="auto"/>
          </w:tcPr>
          <w:p w14:paraId="7726EF55" w14:textId="77777777" w:rsidR="001000D6" w:rsidRPr="00EC32B5" w:rsidRDefault="001000D6" w:rsidP="00B72689">
            <w:pPr>
              <w:spacing w:line="288" w:lineRule="auto"/>
              <w:rPr>
                <w:rFonts w:ascii="Roboto" w:hAnsi="Roboto" w:cs="Arial"/>
                <w:sz w:val="22"/>
                <w:szCs w:val="22"/>
                <w:lang w:val="fr-FR"/>
              </w:rPr>
            </w:pPr>
          </w:p>
        </w:tc>
        <w:tc>
          <w:tcPr>
            <w:tcW w:w="1140" w:type="dxa"/>
            <w:tcBorders>
              <w:top w:val="single" w:sz="4" w:space="0" w:color="auto"/>
              <w:bottom w:val="single" w:sz="4" w:space="0" w:color="auto"/>
            </w:tcBorders>
            <w:shd w:val="clear" w:color="auto" w:fill="auto"/>
            <w:vAlign w:val="bottom"/>
          </w:tcPr>
          <w:p w14:paraId="2BB89AA6"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10861</w:t>
            </w:r>
          </w:p>
        </w:tc>
        <w:tc>
          <w:tcPr>
            <w:tcW w:w="1200" w:type="dxa"/>
            <w:tcBorders>
              <w:bottom w:val="single" w:sz="4" w:space="0" w:color="auto"/>
            </w:tcBorders>
            <w:shd w:val="clear" w:color="auto" w:fill="auto"/>
            <w:vAlign w:val="bottom"/>
          </w:tcPr>
          <w:p w14:paraId="64119510" w14:textId="77777777" w:rsidR="001000D6" w:rsidRPr="00EC32B5" w:rsidRDefault="001000D6" w:rsidP="00B72689">
            <w:pPr>
              <w:spacing w:line="288" w:lineRule="auto"/>
              <w:jc w:val="center"/>
              <w:rPr>
                <w:rFonts w:ascii="Roboto" w:hAnsi="Roboto" w:cs="Arial"/>
                <w:sz w:val="22"/>
                <w:szCs w:val="22"/>
              </w:rPr>
            </w:pPr>
          </w:p>
        </w:tc>
        <w:tc>
          <w:tcPr>
            <w:tcW w:w="2040" w:type="dxa"/>
            <w:tcBorders>
              <w:bottom w:val="single" w:sz="4" w:space="0" w:color="auto"/>
            </w:tcBorders>
            <w:shd w:val="clear" w:color="auto" w:fill="auto"/>
            <w:vAlign w:val="bottom"/>
          </w:tcPr>
          <w:p w14:paraId="119080F3" w14:textId="77777777" w:rsidR="001000D6" w:rsidRPr="00EC32B5" w:rsidRDefault="001000D6" w:rsidP="00B72689">
            <w:pPr>
              <w:spacing w:line="288" w:lineRule="auto"/>
              <w:rPr>
                <w:rFonts w:ascii="Roboto" w:hAnsi="Roboto" w:cs="Arial"/>
                <w:sz w:val="22"/>
                <w:szCs w:val="22"/>
              </w:rPr>
            </w:pPr>
          </w:p>
        </w:tc>
        <w:tc>
          <w:tcPr>
            <w:tcW w:w="1200" w:type="dxa"/>
            <w:gridSpan w:val="3"/>
            <w:tcBorders>
              <w:top w:val="single" w:sz="4" w:space="0" w:color="auto"/>
              <w:bottom w:val="single" w:sz="4" w:space="0" w:color="auto"/>
            </w:tcBorders>
            <w:shd w:val="clear" w:color="auto" w:fill="auto"/>
            <w:vAlign w:val="bottom"/>
          </w:tcPr>
          <w:p w14:paraId="6FAFA099" w14:textId="41432669"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10861</w:t>
            </w:r>
          </w:p>
        </w:tc>
        <w:tc>
          <w:tcPr>
            <w:tcW w:w="252" w:type="dxa"/>
            <w:tcBorders>
              <w:bottom w:val="single" w:sz="4" w:space="0" w:color="auto"/>
            </w:tcBorders>
            <w:shd w:val="clear" w:color="auto" w:fill="auto"/>
            <w:vAlign w:val="bottom"/>
          </w:tcPr>
          <w:p w14:paraId="3FB101DF" w14:textId="77777777" w:rsidR="001000D6" w:rsidRPr="00EC32B5" w:rsidRDefault="001000D6" w:rsidP="00B72689">
            <w:pPr>
              <w:spacing w:line="288" w:lineRule="auto"/>
              <w:jc w:val="center"/>
              <w:rPr>
                <w:rFonts w:ascii="Roboto" w:hAnsi="Roboto" w:cs="Arial"/>
              </w:rPr>
            </w:pPr>
          </w:p>
        </w:tc>
      </w:tr>
      <w:tr w:rsidR="001000D6" w:rsidRPr="00EC32B5" w14:paraId="23ACB84A" w14:textId="77777777" w:rsidTr="00B72689">
        <w:trPr>
          <w:jc w:val="center"/>
        </w:trPr>
        <w:tc>
          <w:tcPr>
            <w:tcW w:w="8172" w:type="dxa"/>
            <w:gridSpan w:val="8"/>
            <w:tcBorders>
              <w:top w:val="single" w:sz="4" w:space="0" w:color="auto"/>
            </w:tcBorders>
            <w:shd w:val="clear" w:color="auto" w:fill="E0E0E0"/>
          </w:tcPr>
          <w:p w14:paraId="47410013" w14:textId="77777777" w:rsidR="001000D6" w:rsidRPr="00EC32B5" w:rsidRDefault="001000D6" w:rsidP="00B72689">
            <w:pPr>
              <w:bidi/>
              <w:spacing w:line="288" w:lineRule="auto"/>
              <w:jc w:val="center"/>
              <w:rPr>
                <w:rFonts w:ascii="Roboto" w:hAnsi="Roboto" w:cs="Arial"/>
                <w:b/>
                <w:sz w:val="22"/>
                <w:szCs w:val="22"/>
                <w:rtl/>
              </w:rPr>
            </w:pPr>
            <w:r>
              <w:rPr>
                <w:rFonts w:ascii="Roboto" w:hAnsi="Roboto" w:hint="cs"/>
                <w:b/>
                <w:bCs/>
                <w:sz w:val="22"/>
                <w:szCs w:val="22"/>
                <w:rtl/>
              </w:rPr>
              <w:t>بيان الدخل (آخر سنة مالية، بالآلاف من الدولارات الأسترالية)</w:t>
            </w:r>
          </w:p>
        </w:tc>
      </w:tr>
      <w:tr w:rsidR="001000D6" w:rsidRPr="00EC32B5" w14:paraId="2D7AEF1F" w14:textId="77777777" w:rsidTr="00B72689">
        <w:trPr>
          <w:jc w:val="center"/>
        </w:trPr>
        <w:tc>
          <w:tcPr>
            <w:tcW w:w="6732" w:type="dxa"/>
            <w:gridSpan w:val="5"/>
            <w:shd w:val="clear" w:color="auto" w:fill="auto"/>
            <w:vAlign w:val="bottom"/>
          </w:tcPr>
          <w:p w14:paraId="3426AB20"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إيرادات المبيعات</w:t>
            </w:r>
          </w:p>
        </w:tc>
        <w:tc>
          <w:tcPr>
            <w:tcW w:w="1170" w:type="dxa"/>
            <w:shd w:val="clear" w:color="auto" w:fill="auto"/>
            <w:vAlign w:val="bottom"/>
          </w:tcPr>
          <w:p w14:paraId="4A7FC5F6"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18721</w:t>
            </w:r>
          </w:p>
        </w:tc>
        <w:tc>
          <w:tcPr>
            <w:tcW w:w="270" w:type="dxa"/>
            <w:gridSpan w:val="2"/>
            <w:shd w:val="clear" w:color="auto" w:fill="auto"/>
            <w:vAlign w:val="bottom"/>
          </w:tcPr>
          <w:p w14:paraId="22DA5851" w14:textId="77777777" w:rsidR="001000D6" w:rsidRPr="00EC32B5" w:rsidRDefault="001000D6" w:rsidP="00B72689">
            <w:pPr>
              <w:spacing w:line="288" w:lineRule="auto"/>
              <w:jc w:val="center"/>
              <w:rPr>
                <w:rFonts w:ascii="Roboto" w:hAnsi="Roboto" w:cs="Arial"/>
              </w:rPr>
            </w:pPr>
          </w:p>
        </w:tc>
      </w:tr>
      <w:tr w:rsidR="001000D6" w:rsidRPr="00EC32B5" w14:paraId="455FEAF5" w14:textId="77777777" w:rsidTr="00B72689">
        <w:trPr>
          <w:jc w:val="center"/>
        </w:trPr>
        <w:tc>
          <w:tcPr>
            <w:tcW w:w="6732" w:type="dxa"/>
            <w:gridSpan w:val="5"/>
            <w:shd w:val="clear" w:color="auto" w:fill="auto"/>
            <w:vAlign w:val="bottom"/>
          </w:tcPr>
          <w:p w14:paraId="60344DFA"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تكلفة البضائع المَبيعة</w:t>
            </w:r>
          </w:p>
        </w:tc>
        <w:tc>
          <w:tcPr>
            <w:tcW w:w="1170" w:type="dxa"/>
            <w:shd w:val="clear" w:color="auto" w:fill="auto"/>
            <w:vAlign w:val="bottom"/>
          </w:tcPr>
          <w:p w14:paraId="51A0683B"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10088</w:t>
            </w:r>
          </w:p>
        </w:tc>
        <w:tc>
          <w:tcPr>
            <w:tcW w:w="270" w:type="dxa"/>
            <w:gridSpan w:val="2"/>
            <w:shd w:val="clear" w:color="auto" w:fill="auto"/>
            <w:vAlign w:val="bottom"/>
          </w:tcPr>
          <w:p w14:paraId="11CB754E" w14:textId="77777777" w:rsidR="001000D6" w:rsidRPr="00EC32B5" w:rsidRDefault="001000D6" w:rsidP="00B72689">
            <w:pPr>
              <w:spacing w:line="288" w:lineRule="auto"/>
              <w:jc w:val="center"/>
              <w:rPr>
                <w:rFonts w:ascii="Roboto" w:hAnsi="Roboto" w:cs="Arial"/>
              </w:rPr>
            </w:pPr>
          </w:p>
        </w:tc>
      </w:tr>
      <w:tr w:rsidR="001000D6" w:rsidRPr="00EC32B5" w14:paraId="7A32C8C4" w14:textId="77777777" w:rsidTr="00B72689">
        <w:trPr>
          <w:jc w:val="center"/>
        </w:trPr>
        <w:tc>
          <w:tcPr>
            <w:tcW w:w="6732" w:type="dxa"/>
            <w:gridSpan w:val="5"/>
            <w:shd w:val="clear" w:color="auto" w:fill="auto"/>
            <w:vAlign w:val="bottom"/>
          </w:tcPr>
          <w:p w14:paraId="0BC586A2"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مصاريف التشغيل</w:t>
            </w:r>
          </w:p>
        </w:tc>
        <w:tc>
          <w:tcPr>
            <w:tcW w:w="1170" w:type="dxa"/>
            <w:tcBorders>
              <w:bottom w:val="single" w:sz="4" w:space="0" w:color="auto"/>
            </w:tcBorders>
            <w:shd w:val="clear" w:color="auto" w:fill="auto"/>
            <w:vAlign w:val="bottom"/>
          </w:tcPr>
          <w:p w14:paraId="33CAAF39"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2534</w:t>
            </w:r>
          </w:p>
        </w:tc>
        <w:tc>
          <w:tcPr>
            <w:tcW w:w="270" w:type="dxa"/>
            <w:gridSpan w:val="2"/>
            <w:shd w:val="clear" w:color="auto" w:fill="auto"/>
            <w:vAlign w:val="bottom"/>
          </w:tcPr>
          <w:p w14:paraId="01B0E44B" w14:textId="77777777" w:rsidR="001000D6" w:rsidRPr="00EC32B5" w:rsidRDefault="001000D6" w:rsidP="00B72689">
            <w:pPr>
              <w:spacing w:line="288" w:lineRule="auto"/>
              <w:jc w:val="center"/>
              <w:rPr>
                <w:rFonts w:ascii="Roboto" w:hAnsi="Roboto" w:cs="Arial"/>
              </w:rPr>
            </w:pPr>
          </w:p>
        </w:tc>
      </w:tr>
      <w:tr w:rsidR="001000D6" w:rsidRPr="00EC32B5" w14:paraId="2F322CFC" w14:textId="77777777" w:rsidTr="00B72689">
        <w:trPr>
          <w:jc w:val="center"/>
        </w:trPr>
        <w:tc>
          <w:tcPr>
            <w:tcW w:w="6732" w:type="dxa"/>
            <w:gridSpan w:val="5"/>
            <w:shd w:val="clear" w:color="auto" w:fill="auto"/>
            <w:vAlign w:val="bottom"/>
          </w:tcPr>
          <w:p w14:paraId="094CF7E7"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الربح التشغيلي</w:t>
            </w:r>
          </w:p>
        </w:tc>
        <w:tc>
          <w:tcPr>
            <w:tcW w:w="1170" w:type="dxa"/>
            <w:tcBorders>
              <w:top w:val="single" w:sz="4" w:space="0" w:color="auto"/>
            </w:tcBorders>
            <w:shd w:val="clear" w:color="auto" w:fill="auto"/>
            <w:vAlign w:val="bottom"/>
          </w:tcPr>
          <w:p w14:paraId="68CF044D"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6099</w:t>
            </w:r>
          </w:p>
        </w:tc>
        <w:tc>
          <w:tcPr>
            <w:tcW w:w="270" w:type="dxa"/>
            <w:gridSpan w:val="2"/>
            <w:shd w:val="clear" w:color="auto" w:fill="auto"/>
            <w:vAlign w:val="bottom"/>
          </w:tcPr>
          <w:p w14:paraId="68E4DE54" w14:textId="77777777" w:rsidR="001000D6" w:rsidRPr="00EC32B5" w:rsidRDefault="001000D6" w:rsidP="00B72689">
            <w:pPr>
              <w:spacing w:line="288" w:lineRule="auto"/>
              <w:jc w:val="center"/>
              <w:rPr>
                <w:rFonts w:ascii="Roboto" w:hAnsi="Roboto" w:cs="Arial"/>
              </w:rPr>
            </w:pPr>
          </w:p>
        </w:tc>
      </w:tr>
      <w:tr w:rsidR="001000D6" w:rsidRPr="00EC32B5" w14:paraId="21D53D6E" w14:textId="77777777" w:rsidTr="00B72689">
        <w:trPr>
          <w:jc w:val="center"/>
        </w:trPr>
        <w:tc>
          <w:tcPr>
            <w:tcW w:w="6732" w:type="dxa"/>
            <w:gridSpan w:val="5"/>
            <w:shd w:val="clear" w:color="auto" w:fill="auto"/>
            <w:vAlign w:val="bottom"/>
          </w:tcPr>
          <w:p w14:paraId="32F48BAD"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مصاريف الفائدة</w:t>
            </w:r>
          </w:p>
        </w:tc>
        <w:tc>
          <w:tcPr>
            <w:tcW w:w="1170" w:type="dxa"/>
            <w:tcBorders>
              <w:bottom w:val="single" w:sz="4" w:space="0" w:color="auto"/>
            </w:tcBorders>
            <w:shd w:val="clear" w:color="auto" w:fill="auto"/>
            <w:vAlign w:val="bottom"/>
          </w:tcPr>
          <w:p w14:paraId="6A9F344D"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w:t>
            </w:r>
          </w:p>
        </w:tc>
        <w:tc>
          <w:tcPr>
            <w:tcW w:w="270" w:type="dxa"/>
            <w:gridSpan w:val="2"/>
            <w:shd w:val="clear" w:color="auto" w:fill="auto"/>
            <w:vAlign w:val="bottom"/>
          </w:tcPr>
          <w:p w14:paraId="78A6609C" w14:textId="77777777" w:rsidR="001000D6" w:rsidRPr="00EC32B5" w:rsidRDefault="001000D6" w:rsidP="00B72689">
            <w:pPr>
              <w:spacing w:line="288" w:lineRule="auto"/>
              <w:jc w:val="center"/>
              <w:rPr>
                <w:rFonts w:ascii="Roboto" w:hAnsi="Roboto" w:cs="Arial"/>
              </w:rPr>
            </w:pPr>
          </w:p>
        </w:tc>
      </w:tr>
      <w:tr w:rsidR="001000D6" w:rsidRPr="00EC32B5" w14:paraId="6AEE02CD" w14:textId="77777777" w:rsidTr="00B72689">
        <w:trPr>
          <w:jc w:val="center"/>
        </w:trPr>
        <w:tc>
          <w:tcPr>
            <w:tcW w:w="6732" w:type="dxa"/>
            <w:gridSpan w:val="5"/>
            <w:shd w:val="clear" w:color="auto" w:fill="auto"/>
            <w:vAlign w:val="bottom"/>
          </w:tcPr>
          <w:p w14:paraId="0CA26913"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الدخل قبل الضريبة</w:t>
            </w:r>
          </w:p>
        </w:tc>
        <w:tc>
          <w:tcPr>
            <w:tcW w:w="1170" w:type="dxa"/>
            <w:tcBorders>
              <w:top w:val="single" w:sz="4" w:space="0" w:color="auto"/>
            </w:tcBorders>
            <w:shd w:val="clear" w:color="auto" w:fill="auto"/>
            <w:vAlign w:val="bottom"/>
          </w:tcPr>
          <w:p w14:paraId="4DA5B5A6"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6099</w:t>
            </w:r>
          </w:p>
        </w:tc>
        <w:tc>
          <w:tcPr>
            <w:tcW w:w="270" w:type="dxa"/>
            <w:gridSpan w:val="2"/>
            <w:shd w:val="clear" w:color="auto" w:fill="auto"/>
            <w:vAlign w:val="bottom"/>
          </w:tcPr>
          <w:p w14:paraId="69368089" w14:textId="77777777" w:rsidR="001000D6" w:rsidRPr="00EC32B5" w:rsidRDefault="001000D6" w:rsidP="00B72689">
            <w:pPr>
              <w:spacing w:line="288" w:lineRule="auto"/>
              <w:jc w:val="center"/>
              <w:rPr>
                <w:rFonts w:ascii="Roboto" w:hAnsi="Roboto" w:cs="Arial"/>
              </w:rPr>
            </w:pPr>
          </w:p>
        </w:tc>
      </w:tr>
      <w:tr w:rsidR="001000D6" w:rsidRPr="00EC32B5" w14:paraId="2A6A5D6A" w14:textId="77777777" w:rsidTr="00B72689">
        <w:trPr>
          <w:jc w:val="center"/>
        </w:trPr>
        <w:tc>
          <w:tcPr>
            <w:tcW w:w="6732" w:type="dxa"/>
            <w:gridSpan w:val="5"/>
            <w:shd w:val="clear" w:color="auto" w:fill="auto"/>
            <w:vAlign w:val="bottom"/>
          </w:tcPr>
          <w:p w14:paraId="47EE560D"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المصاريف الضريبية</w:t>
            </w:r>
          </w:p>
        </w:tc>
        <w:tc>
          <w:tcPr>
            <w:tcW w:w="1170" w:type="dxa"/>
            <w:tcBorders>
              <w:bottom w:val="single" w:sz="4" w:space="0" w:color="auto"/>
            </w:tcBorders>
            <w:shd w:val="clear" w:color="auto" w:fill="auto"/>
            <w:vAlign w:val="bottom"/>
          </w:tcPr>
          <w:p w14:paraId="1D681A00" w14:textId="6FCE694A"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1525</w:t>
            </w:r>
          </w:p>
        </w:tc>
        <w:tc>
          <w:tcPr>
            <w:tcW w:w="270" w:type="dxa"/>
            <w:gridSpan w:val="2"/>
            <w:shd w:val="clear" w:color="auto" w:fill="auto"/>
            <w:vAlign w:val="bottom"/>
          </w:tcPr>
          <w:p w14:paraId="3DBA2D58" w14:textId="77777777" w:rsidR="001000D6" w:rsidRPr="00EC32B5" w:rsidRDefault="001000D6" w:rsidP="00B72689">
            <w:pPr>
              <w:spacing w:line="288" w:lineRule="auto"/>
              <w:jc w:val="center"/>
              <w:rPr>
                <w:rFonts w:ascii="Roboto" w:hAnsi="Roboto" w:cs="Arial"/>
              </w:rPr>
            </w:pPr>
          </w:p>
        </w:tc>
      </w:tr>
      <w:tr w:rsidR="001000D6" w:rsidRPr="00EC32B5" w14:paraId="5B13B020" w14:textId="77777777" w:rsidTr="00B72689">
        <w:trPr>
          <w:jc w:val="center"/>
        </w:trPr>
        <w:tc>
          <w:tcPr>
            <w:tcW w:w="6732" w:type="dxa"/>
            <w:gridSpan w:val="5"/>
            <w:tcBorders>
              <w:bottom w:val="single" w:sz="4" w:space="0" w:color="auto"/>
            </w:tcBorders>
            <w:shd w:val="clear" w:color="auto" w:fill="auto"/>
            <w:vAlign w:val="bottom"/>
          </w:tcPr>
          <w:p w14:paraId="4D8E7A2F" w14:textId="77777777" w:rsidR="001000D6" w:rsidRPr="00EC32B5" w:rsidRDefault="001000D6" w:rsidP="00B72689">
            <w:pPr>
              <w:bidi/>
              <w:spacing w:line="288" w:lineRule="auto"/>
              <w:rPr>
                <w:rFonts w:ascii="Roboto" w:hAnsi="Roboto" w:cs="Arial"/>
                <w:sz w:val="22"/>
                <w:szCs w:val="22"/>
                <w:rtl/>
              </w:rPr>
            </w:pPr>
            <w:r>
              <w:rPr>
                <w:rFonts w:ascii="Roboto" w:hAnsi="Roboto" w:hint="cs"/>
                <w:sz w:val="22"/>
                <w:szCs w:val="22"/>
                <w:rtl/>
              </w:rPr>
              <w:t>صافي الدخل</w:t>
            </w:r>
          </w:p>
        </w:tc>
        <w:tc>
          <w:tcPr>
            <w:tcW w:w="1170" w:type="dxa"/>
            <w:tcBorders>
              <w:top w:val="single" w:sz="4" w:space="0" w:color="auto"/>
              <w:bottom w:val="single" w:sz="4" w:space="0" w:color="auto"/>
            </w:tcBorders>
            <w:shd w:val="clear" w:color="auto" w:fill="auto"/>
            <w:vAlign w:val="bottom"/>
          </w:tcPr>
          <w:p w14:paraId="6DF22C45" w14:textId="77777777" w:rsidR="001000D6" w:rsidRPr="00EC32B5" w:rsidRDefault="001000D6" w:rsidP="00B72689">
            <w:pPr>
              <w:bidi/>
              <w:spacing w:line="288" w:lineRule="auto"/>
              <w:jc w:val="right"/>
              <w:rPr>
                <w:rFonts w:ascii="Roboto" w:hAnsi="Roboto" w:cs="Arial"/>
                <w:sz w:val="22"/>
                <w:szCs w:val="22"/>
                <w:rtl/>
              </w:rPr>
            </w:pPr>
            <w:r>
              <w:rPr>
                <w:rFonts w:ascii="Roboto" w:hAnsi="Roboto" w:hint="cs"/>
                <w:sz w:val="22"/>
                <w:szCs w:val="22"/>
                <w:rtl/>
              </w:rPr>
              <w:t>4574</w:t>
            </w:r>
          </w:p>
        </w:tc>
        <w:tc>
          <w:tcPr>
            <w:tcW w:w="270" w:type="dxa"/>
            <w:gridSpan w:val="2"/>
            <w:tcBorders>
              <w:bottom w:val="single" w:sz="4" w:space="0" w:color="auto"/>
            </w:tcBorders>
            <w:shd w:val="clear" w:color="auto" w:fill="auto"/>
            <w:vAlign w:val="bottom"/>
          </w:tcPr>
          <w:p w14:paraId="7E99530A" w14:textId="77777777" w:rsidR="001000D6" w:rsidRPr="00EC32B5" w:rsidRDefault="001000D6" w:rsidP="00B72689">
            <w:pPr>
              <w:spacing w:line="288" w:lineRule="auto"/>
              <w:jc w:val="center"/>
              <w:rPr>
                <w:rFonts w:ascii="Roboto" w:hAnsi="Roboto" w:cs="Arial"/>
              </w:rPr>
            </w:pPr>
          </w:p>
        </w:tc>
      </w:tr>
    </w:tbl>
    <w:p w14:paraId="0985F0D1" w14:textId="77777777" w:rsidR="001000D6" w:rsidRPr="009B7E57" w:rsidRDefault="001000D6" w:rsidP="009B7E57">
      <w:pPr>
        <w:pStyle w:val="Exhibitno"/>
      </w:pPr>
    </w:p>
    <w:p w14:paraId="72743F70" w14:textId="60E7F860" w:rsidR="001000D6" w:rsidRPr="009B7E57" w:rsidRDefault="001000D6" w:rsidP="009B7E57">
      <w:pPr>
        <w:pStyle w:val="Exhibitno"/>
      </w:pPr>
    </w:p>
    <w:p w14:paraId="3E305DC8" w14:textId="77777777" w:rsidR="00955771" w:rsidRPr="009B7E57" w:rsidRDefault="00955771" w:rsidP="009B7E57">
      <w:pPr>
        <w:pStyle w:val="Exhibitno"/>
      </w:pPr>
    </w:p>
    <w:p w14:paraId="19E564E6" w14:textId="77777777" w:rsidR="00473E8F" w:rsidRPr="00473E8F" w:rsidRDefault="001000D6" w:rsidP="00473E8F">
      <w:pPr>
        <w:pStyle w:val="Exhibitno"/>
        <w:bidi/>
        <w:rPr>
          <w:rtl/>
        </w:rPr>
      </w:pPr>
      <w:r>
        <w:rPr>
          <w:rFonts w:hint="cs"/>
          <w:rtl/>
        </w:rPr>
        <w:t>المستند 2</w:t>
      </w:r>
    </w:p>
    <w:p w14:paraId="70B2B0C2" w14:textId="5185ED17" w:rsidR="001000D6" w:rsidRPr="00473E8F" w:rsidRDefault="001000D6" w:rsidP="00473E8F">
      <w:pPr>
        <w:pStyle w:val="Exhibittitle"/>
        <w:bidi/>
        <w:rPr>
          <w:rtl/>
        </w:rPr>
      </w:pPr>
      <w:r>
        <w:rPr>
          <w:rFonts w:hint="cs"/>
          <w:rtl/>
        </w:rPr>
        <w:t>توقعات التدفق النقدي الحر (</w:t>
      </w:r>
      <w:r>
        <w:t>FCF</w:t>
      </w:r>
      <w:r>
        <w:rPr>
          <w:rFonts w:hint="cs"/>
          <w:rtl/>
        </w:rPr>
        <w:t>) من سيرفسوب (كشركة مستقلة)</w:t>
      </w:r>
    </w:p>
    <w:tbl>
      <w:tblPr>
        <w:bidiVisual/>
        <w:tblW w:w="9015" w:type="dxa"/>
        <w:tblLayout w:type="fixed"/>
        <w:tblCellMar>
          <w:top w:w="100" w:type="dxa"/>
          <w:left w:w="100" w:type="dxa"/>
          <w:bottom w:w="100" w:type="dxa"/>
          <w:right w:w="100" w:type="dxa"/>
        </w:tblCellMar>
        <w:tblLook w:val="0600" w:firstRow="0" w:lastRow="0" w:firstColumn="0" w:lastColumn="0" w:noHBand="1" w:noVBand="1"/>
      </w:tblPr>
      <w:tblGrid>
        <w:gridCol w:w="1408"/>
        <w:gridCol w:w="1521"/>
        <w:gridCol w:w="1521"/>
        <w:gridCol w:w="1522"/>
        <w:gridCol w:w="1521"/>
        <w:gridCol w:w="1522"/>
      </w:tblGrid>
      <w:tr w:rsidR="001000D6" w:rsidRPr="009B7E57" w14:paraId="022EDA80" w14:textId="77777777" w:rsidTr="00B72689">
        <w:trPr>
          <w:trHeight w:val="288"/>
        </w:trPr>
        <w:tc>
          <w:tcPr>
            <w:tcW w:w="1408" w:type="dxa"/>
            <w:tcBorders>
              <w:top w:val="single" w:sz="4" w:space="0" w:color="auto"/>
            </w:tcBorders>
            <w:shd w:val="clear" w:color="auto" w:fill="auto"/>
            <w:tcMar>
              <w:top w:w="100" w:type="dxa"/>
              <w:left w:w="100" w:type="dxa"/>
              <w:bottom w:w="100" w:type="dxa"/>
              <w:right w:w="100" w:type="dxa"/>
            </w:tcMar>
            <w:vAlign w:val="center"/>
          </w:tcPr>
          <w:p w14:paraId="6E01B9DB" w14:textId="77777777" w:rsidR="001000D6" w:rsidRPr="009B7E57" w:rsidRDefault="001000D6" w:rsidP="00B72689">
            <w:pPr>
              <w:widowControl w:val="0"/>
              <w:contextualSpacing/>
              <w:jc w:val="center"/>
              <w:rPr>
                <w:rFonts w:ascii="Roboto" w:hAnsi="Roboto" w:cs="Arial"/>
                <w:sz w:val="22"/>
                <w:szCs w:val="22"/>
              </w:rPr>
            </w:pP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5343F41A" w14:textId="77777777" w:rsidR="001000D6" w:rsidRPr="009B7E57" w:rsidRDefault="001000D6" w:rsidP="00B72689">
            <w:pPr>
              <w:widowControl w:val="0"/>
              <w:bidi/>
              <w:contextualSpacing/>
              <w:jc w:val="center"/>
              <w:rPr>
                <w:rFonts w:ascii="Roboto" w:hAnsi="Roboto" w:cs="Arial"/>
                <w:b/>
                <w:bCs/>
                <w:sz w:val="22"/>
                <w:szCs w:val="22"/>
                <w:rtl/>
              </w:rPr>
            </w:pPr>
            <w:r>
              <w:rPr>
                <w:rFonts w:ascii="Roboto" w:hAnsi="Roboto" w:hint="cs"/>
                <w:b/>
                <w:bCs/>
                <w:sz w:val="22"/>
                <w:szCs w:val="22"/>
                <w:rtl/>
              </w:rPr>
              <w:t>السنة الأولى</w:t>
            </w: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0F878DC" w14:textId="77777777" w:rsidR="001000D6" w:rsidRPr="009B7E57" w:rsidRDefault="001000D6" w:rsidP="00B72689">
            <w:pPr>
              <w:widowControl w:val="0"/>
              <w:bidi/>
              <w:contextualSpacing/>
              <w:jc w:val="center"/>
              <w:rPr>
                <w:rFonts w:ascii="Roboto" w:hAnsi="Roboto" w:cs="Arial"/>
                <w:b/>
                <w:bCs/>
                <w:sz w:val="22"/>
                <w:szCs w:val="22"/>
                <w:rtl/>
              </w:rPr>
            </w:pPr>
            <w:r>
              <w:rPr>
                <w:rFonts w:ascii="Roboto" w:hAnsi="Roboto" w:hint="cs"/>
                <w:b/>
                <w:bCs/>
                <w:sz w:val="22"/>
                <w:szCs w:val="22"/>
                <w:rtl/>
              </w:rPr>
              <w:t>السنة الثانية</w:t>
            </w:r>
          </w:p>
        </w:tc>
        <w:tc>
          <w:tcPr>
            <w:tcW w:w="1522"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74193F3" w14:textId="77777777" w:rsidR="001000D6" w:rsidRPr="009B7E57" w:rsidRDefault="001000D6" w:rsidP="00B72689">
            <w:pPr>
              <w:widowControl w:val="0"/>
              <w:bidi/>
              <w:contextualSpacing/>
              <w:jc w:val="center"/>
              <w:rPr>
                <w:rFonts w:ascii="Roboto" w:hAnsi="Roboto" w:cs="Arial"/>
                <w:b/>
                <w:bCs/>
                <w:sz w:val="22"/>
                <w:szCs w:val="22"/>
                <w:rtl/>
              </w:rPr>
            </w:pPr>
            <w:r>
              <w:rPr>
                <w:rFonts w:ascii="Roboto" w:hAnsi="Roboto" w:hint="cs"/>
                <w:b/>
                <w:bCs/>
                <w:sz w:val="22"/>
                <w:szCs w:val="22"/>
                <w:rtl/>
              </w:rPr>
              <w:t>السنة الثالثة</w:t>
            </w: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9D586D9" w14:textId="77777777" w:rsidR="001000D6" w:rsidRPr="009B7E57" w:rsidRDefault="001000D6" w:rsidP="00B72689">
            <w:pPr>
              <w:widowControl w:val="0"/>
              <w:bidi/>
              <w:contextualSpacing/>
              <w:jc w:val="center"/>
              <w:rPr>
                <w:rFonts w:ascii="Roboto" w:hAnsi="Roboto" w:cs="Arial"/>
                <w:b/>
                <w:bCs/>
                <w:sz w:val="22"/>
                <w:szCs w:val="22"/>
                <w:rtl/>
              </w:rPr>
            </w:pPr>
            <w:r>
              <w:rPr>
                <w:rFonts w:ascii="Roboto" w:hAnsi="Roboto" w:hint="cs"/>
                <w:b/>
                <w:bCs/>
                <w:sz w:val="22"/>
                <w:szCs w:val="22"/>
                <w:rtl/>
              </w:rPr>
              <w:t>السنة الرابعة</w:t>
            </w:r>
          </w:p>
        </w:tc>
        <w:tc>
          <w:tcPr>
            <w:tcW w:w="1522"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FA32E2B" w14:textId="77777777" w:rsidR="001000D6" w:rsidRPr="009B7E57" w:rsidRDefault="001000D6" w:rsidP="00B72689">
            <w:pPr>
              <w:widowControl w:val="0"/>
              <w:bidi/>
              <w:contextualSpacing/>
              <w:jc w:val="center"/>
              <w:rPr>
                <w:rFonts w:ascii="Roboto" w:hAnsi="Roboto" w:cs="Arial"/>
                <w:b/>
                <w:bCs/>
                <w:sz w:val="22"/>
                <w:szCs w:val="22"/>
                <w:rtl/>
              </w:rPr>
            </w:pPr>
            <w:r>
              <w:rPr>
                <w:rFonts w:ascii="Roboto" w:hAnsi="Roboto" w:hint="cs"/>
                <w:b/>
                <w:bCs/>
                <w:sz w:val="22"/>
                <w:szCs w:val="22"/>
                <w:rtl/>
              </w:rPr>
              <w:t>السنة الخامسة</w:t>
            </w:r>
          </w:p>
        </w:tc>
      </w:tr>
      <w:tr w:rsidR="001000D6" w:rsidRPr="009B7E57" w14:paraId="2549BC5B" w14:textId="77777777" w:rsidTr="00B72689">
        <w:trPr>
          <w:trHeight w:val="288"/>
        </w:trPr>
        <w:tc>
          <w:tcPr>
            <w:tcW w:w="1408" w:type="dxa"/>
            <w:tcBorders>
              <w:bottom w:val="single" w:sz="4" w:space="0" w:color="auto"/>
            </w:tcBorders>
            <w:shd w:val="clear" w:color="auto" w:fill="auto"/>
            <w:tcMar>
              <w:top w:w="100" w:type="dxa"/>
              <w:left w:w="100" w:type="dxa"/>
              <w:bottom w:w="100" w:type="dxa"/>
              <w:right w:w="100" w:type="dxa"/>
            </w:tcMar>
            <w:vAlign w:val="center"/>
          </w:tcPr>
          <w:p w14:paraId="5A8120CA" w14:textId="77777777" w:rsidR="001000D6" w:rsidRPr="009B7E57" w:rsidRDefault="001000D6" w:rsidP="00B72689">
            <w:pPr>
              <w:widowControl w:val="0"/>
              <w:bidi/>
              <w:jc w:val="center"/>
              <w:rPr>
                <w:rFonts w:ascii="Roboto" w:hAnsi="Roboto" w:cs="Arial"/>
                <w:b/>
                <w:sz w:val="22"/>
                <w:szCs w:val="22"/>
                <w:rtl/>
              </w:rPr>
            </w:pPr>
            <w:r>
              <w:rPr>
                <w:rFonts w:ascii="Roboto" w:hAnsi="Roboto" w:hint="cs"/>
                <w:b/>
                <w:bCs/>
                <w:sz w:val="22"/>
                <w:szCs w:val="22"/>
                <w:rtl/>
              </w:rPr>
              <w:t>التدفق النقدي الحر (</w:t>
            </w:r>
            <w:r>
              <w:rPr>
                <w:rFonts w:ascii="Roboto" w:hAnsi="Roboto"/>
                <w:b/>
                <w:bCs/>
                <w:sz w:val="22"/>
                <w:szCs w:val="22"/>
              </w:rPr>
              <w:t>FCF</w:t>
            </w:r>
            <w:r>
              <w:rPr>
                <w:rFonts w:ascii="Roboto" w:hAnsi="Roboto" w:hint="cs"/>
                <w:b/>
                <w:bCs/>
                <w:sz w:val="22"/>
                <w:szCs w:val="22"/>
                <w:rtl/>
              </w:rPr>
              <w:t>)</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26D3B962" w14:textId="77777777" w:rsidR="001000D6" w:rsidRPr="009B7E57" w:rsidRDefault="001000D6" w:rsidP="00B72689">
            <w:pPr>
              <w:widowControl w:val="0"/>
              <w:bidi/>
              <w:jc w:val="center"/>
              <w:rPr>
                <w:rFonts w:ascii="Roboto" w:hAnsi="Roboto" w:cs="Arial"/>
                <w:sz w:val="22"/>
                <w:szCs w:val="22"/>
                <w:rtl/>
              </w:rPr>
            </w:pPr>
            <w:r>
              <w:rPr>
                <w:rFonts w:ascii="Roboto" w:hAnsi="Roboto" w:hint="cs"/>
                <w:color w:val="000000"/>
                <w:sz w:val="22"/>
                <w:szCs w:val="22"/>
                <w:rtl/>
              </w:rPr>
              <w:t>3898</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237BA079" w14:textId="77777777" w:rsidR="001000D6" w:rsidRPr="009B7E57" w:rsidRDefault="001000D6" w:rsidP="00B72689">
            <w:pPr>
              <w:widowControl w:val="0"/>
              <w:bidi/>
              <w:jc w:val="center"/>
              <w:rPr>
                <w:rFonts w:ascii="Roboto" w:hAnsi="Roboto" w:cs="Arial"/>
                <w:sz w:val="22"/>
                <w:szCs w:val="22"/>
                <w:rtl/>
              </w:rPr>
            </w:pPr>
            <w:r>
              <w:rPr>
                <w:rFonts w:ascii="Roboto" w:hAnsi="Roboto" w:hint="cs"/>
                <w:color w:val="000000"/>
                <w:sz w:val="22"/>
                <w:szCs w:val="22"/>
                <w:rtl/>
              </w:rPr>
              <w:t>4043</w:t>
            </w:r>
          </w:p>
        </w:tc>
        <w:tc>
          <w:tcPr>
            <w:tcW w:w="1522" w:type="dxa"/>
            <w:tcBorders>
              <w:bottom w:val="single" w:sz="4" w:space="0" w:color="auto"/>
            </w:tcBorders>
            <w:shd w:val="clear" w:color="auto" w:fill="auto"/>
            <w:tcMar>
              <w:top w:w="100" w:type="dxa"/>
              <w:left w:w="100" w:type="dxa"/>
              <w:bottom w:w="100" w:type="dxa"/>
              <w:right w:w="100" w:type="dxa"/>
            </w:tcMar>
            <w:vAlign w:val="center"/>
          </w:tcPr>
          <w:p w14:paraId="58C7FA74" w14:textId="77777777" w:rsidR="001000D6" w:rsidRPr="009B7E57" w:rsidRDefault="001000D6" w:rsidP="00B72689">
            <w:pPr>
              <w:widowControl w:val="0"/>
              <w:bidi/>
              <w:jc w:val="center"/>
              <w:rPr>
                <w:rFonts w:ascii="Roboto" w:hAnsi="Roboto" w:cs="Arial"/>
                <w:sz w:val="22"/>
                <w:szCs w:val="22"/>
                <w:rtl/>
              </w:rPr>
            </w:pPr>
            <w:r>
              <w:rPr>
                <w:rFonts w:ascii="Roboto" w:hAnsi="Roboto" w:hint="cs"/>
                <w:color w:val="000000"/>
                <w:sz w:val="22"/>
                <w:szCs w:val="22"/>
                <w:rtl/>
              </w:rPr>
              <w:t>4180</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0AE00C56" w14:textId="77777777" w:rsidR="001000D6" w:rsidRPr="009B7E57" w:rsidRDefault="001000D6" w:rsidP="00B72689">
            <w:pPr>
              <w:widowControl w:val="0"/>
              <w:bidi/>
              <w:jc w:val="center"/>
              <w:rPr>
                <w:rFonts w:ascii="Roboto" w:hAnsi="Roboto" w:cs="Arial"/>
                <w:sz w:val="22"/>
                <w:szCs w:val="22"/>
                <w:rtl/>
              </w:rPr>
            </w:pPr>
            <w:r>
              <w:rPr>
                <w:rFonts w:ascii="Roboto" w:hAnsi="Roboto" w:hint="cs"/>
                <w:color w:val="000000"/>
                <w:sz w:val="22"/>
                <w:szCs w:val="22"/>
                <w:rtl/>
              </w:rPr>
              <w:t>4276</w:t>
            </w:r>
          </w:p>
        </w:tc>
        <w:tc>
          <w:tcPr>
            <w:tcW w:w="1522" w:type="dxa"/>
            <w:tcBorders>
              <w:bottom w:val="single" w:sz="4" w:space="0" w:color="auto"/>
            </w:tcBorders>
            <w:shd w:val="clear" w:color="auto" w:fill="auto"/>
            <w:tcMar>
              <w:top w:w="100" w:type="dxa"/>
              <w:left w:w="100" w:type="dxa"/>
              <w:bottom w:w="100" w:type="dxa"/>
              <w:right w:w="100" w:type="dxa"/>
            </w:tcMar>
            <w:vAlign w:val="center"/>
          </w:tcPr>
          <w:p w14:paraId="5045EAB3" w14:textId="77777777" w:rsidR="001000D6" w:rsidRPr="009B7E57" w:rsidRDefault="001000D6" w:rsidP="00B72689">
            <w:pPr>
              <w:widowControl w:val="0"/>
              <w:bidi/>
              <w:jc w:val="center"/>
              <w:rPr>
                <w:rFonts w:ascii="Roboto" w:hAnsi="Roboto" w:cs="Arial"/>
                <w:sz w:val="22"/>
                <w:szCs w:val="22"/>
                <w:rtl/>
              </w:rPr>
            </w:pPr>
            <w:r>
              <w:rPr>
                <w:rFonts w:ascii="Roboto" w:hAnsi="Roboto" w:hint="cs"/>
                <w:color w:val="000000"/>
                <w:sz w:val="22"/>
                <w:szCs w:val="22"/>
                <w:rtl/>
              </w:rPr>
              <w:t>4349</w:t>
            </w:r>
          </w:p>
        </w:tc>
      </w:tr>
    </w:tbl>
    <w:p w14:paraId="2C4A8666" w14:textId="74844E55" w:rsidR="001000D6" w:rsidRPr="00473E8F" w:rsidRDefault="001000D6" w:rsidP="00473E8F">
      <w:pPr>
        <w:pStyle w:val="ExhibitPararagraph"/>
        <w:bidi/>
        <w:rPr>
          <w:szCs w:val="20"/>
          <w:rtl/>
        </w:rPr>
      </w:pPr>
      <w:r>
        <w:rPr>
          <w:rFonts w:hint="cs"/>
          <w:rtl/>
        </w:rPr>
        <w:t>الأرقام بالآلاف من الدولارات الأسترالية.</w:t>
      </w:r>
      <w:r>
        <w:t xml:space="preserve"> </w:t>
      </w:r>
      <w:r>
        <w:rPr>
          <w:rFonts w:hint="cs"/>
          <w:rtl/>
        </w:rPr>
        <w:t>ومن المتوقع أن يستمر التدفق النقدي الحر في النمو بنسبة 1.2% سنويًا بعد العام الخامس.</w:t>
      </w:r>
    </w:p>
    <w:sectPr w:rsidR="001000D6" w:rsidRPr="00473E8F" w:rsidSect="00473E8F">
      <w:headerReference w:type="first" r:id="rId19"/>
      <w:footerReference w:type="first" r:id="rId20"/>
      <w:pgSz w:w="11909" w:h="16834"/>
      <w:pgMar w:top="2126" w:right="1418"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43BCA" w14:textId="77777777" w:rsidR="004B08A3" w:rsidRDefault="004B08A3" w:rsidP="00D50A6B">
      <w:r>
        <w:separator/>
      </w:r>
    </w:p>
  </w:endnote>
  <w:endnote w:type="continuationSeparator" w:id="0">
    <w:p w14:paraId="40FE03E9" w14:textId="77777777" w:rsidR="004B08A3" w:rsidRDefault="004B08A3" w:rsidP="00D5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Slab">
    <w:panose1 w:val="00000000000000000000"/>
    <w:charset w:val="00"/>
    <w:family w:val="auto"/>
    <w:pitch w:val="variable"/>
    <w:sig w:usb0="000004FF" w:usb1="80004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AA15E" w14:textId="77777777" w:rsidR="00D328D1" w:rsidRDefault="00D32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FB002" w14:textId="528ADB7F" w:rsidR="00D50A6B" w:rsidRPr="00473E8F" w:rsidRDefault="00473E8F" w:rsidP="00473E8F">
    <w:pPr>
      <w:pStyle w:val="Footer"/>
      <w:tabs>
        <w:tab w:val="clear" w:pos="4513"/>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Pr>
        <w:rFonts w:ascii="Roboto" w:eastAsia="Times New Roman" w:hAnsi="Roboto" w:hint="cs"/>
        <w:rtl/>
      </w:rPr>
      <w:t>1</w:t>
    </w:r>
    <w:r w:rsidRPr="0098119E">
      <w:rPr>
        <w:rFonts w:ascii="Roboto" w:eastAsia="Times New Roman" w:hAnsi="Roboto" w:hint="cs"/>
        <w:sz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E59FB" w14:textId="77777777" w:rsidR="00D328D1" w:rsidRDefault="00D328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7CFC6" w14:textId="41043EEB" w:rsidR="00473E8F" w:rsidRPr="00473E8F" w:rsidRDefault="00473E8F" w:rsidP="00473E8F">
    <w:pPr>
      <w:pStyle w:val="Footer"/>
      <w:tabs>
        <w:tab w:val="clear" w:pos="4513"/>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Pr>
        <w:rFonts w:ascii="Roboto" w:eastAsia="Times New Roman" w:hAnsi="Roboto" w:hint="cs"/>
        <w:rtl/>
      </w:rPr>
      <w:t>1</w:t>
    </w:r>
    <w:r w:rsidRPr="0098119E">
      <w:rPr>
        <w:rFonts w:ascii="Roboto" w:eastAsia="Times New Roman"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16000" w14:textId="77777777" w:rsidR="004B08A3" w:rsidRDefault="004B08A3" w:rsidP="00D50A6B">
      <w:r>
        <w:separator/>
      </w:r>
    </w:p>
  </w:footnote>
  <w:footnote w:type="continuationSeparator" w:id="0">
    <w:p w14:paraId="16F3674D" w14:textId="77777777" w:rsidR="004B08A3" w:rsidRDefault="004B08A3" w:rsidP="00D5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814A" w14:textId="77777777" w:rsidR="00D328D1" w:rsidRDefault="00D32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57E3F" w14:textId="3C2980BD" w:rsidR="006C0248" w:rsidRPr="00473E8F" w:rsidRDefault="00473E8F">
    <w:pPr>
      <w:pStyle w:val="Header"/>
      <w:bidi/>
      <w:rPr>
        <w:rtl/>
      </w:rPr>
    </w:pPr>
    <w:r>
      <w:rPr>
        <w:rFonts w:ascii="Times New Roman" w:hAnsi="Times New Roman" w:hint="cs"/>
        <w:noProof/>
        <w:sz w:val="24"/>
        <w:rtl/>
      </w:rPr>
      <w:drawing>
        <wp:inline distT="0" distB="0" distL="0" distR="0" wp14:anchorId="1F3CA515" wp14:editId="7495E8F9">
          <wp:extent cx="2759322" cy="648000"/>
          <wp:effectExtent l="0" t="0" r="3175" b="0"/>
          <wp:docPr id="96527373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119E2" w14:textId="49B24ECB" w:rsidR="000D3DB4" w:rsidRDefault="00473E8F" w:rsidP="00D328D1">
    <w:pPr>
      <w:pStyle w:val="Header"/>
      <w:bidi/>
      <w:ind w:left="-851"/>
      <w:rPr>
        <w:rtl/>
      </w:rPr>
    </w:pPr>
    <w:r>
      <w:rPr>
        <w:rFonts w:ascii="Times New Roman" w:hAnsi="Times New Roman" w:hint="cs"/>
        <w:noProof/>
        <w:sz w:val="24"/>
        <w:rtl/>
      </w:rPr>
      <w:drawing>
        <wp:inline distT="0" distB="0" distL="0" distR="0" wp14:anchorId="58859B6F" wp14:editId="18A8DB6D">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EE2E5" w14:textId="4231E3B9" w:rsidR="00473E8F" w:rsidRDefault="00473E8F">
    <w:pPr>
      <w:pStyle w:val="Header"/>
      <w:bidi/>
      <w:rPr>
        <w:rtl/>
      </w:rPr>
    </w:pPr>
    <w:r>
      <w:rPr>
        <w:rFonts w:ascii="Times New Roman" w:hAnsi="Times New Roman" w:hint="cs"/>
        <w:noProof/>
        <w:sz w:val="24"/>
        <w:rtl/>
      </w:rPr>
      <w:drawing>
        <wp:inline distT="0" distB="0" distL="0" distR="0" wp14:anchorId="0EFA0361" wp14:editId="28606B8B">
          <wp:extent cx="2759322" cy="648000"/>
          <wp:effectExtent l="0" t="0" r="3175" b="0"/>
          <wp:docPr id="1045909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29E96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E1DBF"/>
    <w:multiLevelType w:val="hybridMultilevel"/>
    <w:tmpl w:val="1E1C5CF0"/>
    <w:lvl w:ilvl="0" w:tplc="B64C079A">
      <w:numFmt w:val="bullet"/>
      <w:lvlText w:val="-"/>
      <w:lvlJc w:val="left"/>
      <w:pPr>
        <w:ind w:left="720" w:hanging="360"/>
      </w:pPr>
      <w:rPr>
        <w:rFonts w:ascii="Times New Roman" w:eastAsia="Times New Roman" w:hAnsi="Times New Roman" w:cs="Times New Roman" w:hint="default"/>
        <w:sz w:val="24"/>
        <w:u w:val="singl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A3721"/>
    <w:multiLevelType w:val="hybridMultilevel"/>
    <w:tmpl w:val="F072CB8A"/>
    <w:lvl w:ilvl="0" w:tplc="C032B7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C101F"/>
    <w:multiLevelType w:val="hybridMultilevel"/>
    <w:tmpl w:val="4DFAD5F6"/>
    <w:lvl w:ilvl="0" w:tplc="13F614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E2FC4"/>
    <w:multiLevelType w:val="hybridMultilevel"/>
    <w:tmpl w:val="B3904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92660E"/>
    <w:multiLevelType w:val="hybridMultilevel"/>
    <w:tmpl w:val="E9C01DE0"/>
    <w:lvl w:ilvl="0" w:tplc="8774D4F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631002"/>
    <w:multiLevelType w:val="hybridMultilevel"/>
    <w:tmpl w:val="1384FACC"/>
    <w:lvl w:ilvl="0" w:tplc="F6A82D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A71A8"/>
    <w:multiLevelType w:val="multilevel"/>
    <w:tmpl w:val="5AE6BFC4"/>
    <w:lvl w:ilvl="0">
      <w:start w:val="1"/>
      <w:numFmt w:val="decimal"/>
      <w:lvlText w:val="%1."/>
      <w:lvlJc w:val="left"/>
      <w:pPr>
        <w:ind w:left="720" w:hanging="360"/>
      </w:pPr>
      <w:rPr>
        <w:b/>
        <w:bCs/>
        <w:i w:val="0"/>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C82F99"/>
    <w:multiLevelType w:val="hybridMultilevel"/>
    <w:tmpl w:val="07547A78"/>
    <w:lvl w:ilvl="0" w:tplc="2932AE02">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055">
    <w:abstractNumId w:val="7"/>
  </w:num>
  <w:num w:numId="2" w16cid:durableId="1534070613">
    <w:abstractNumId w:val="4"/>
  </w:num>
  <w:num w:numId="3" w16cid:durableId="1760834258">
    <w:abstractNumId w:val="5"/>
  </w:num>
  <w:num w:numId="4" w16cid:durableId="2171449">
    <w:abstractNumId w:val="2"/>
  </w:num>
  <w:num w:numId="5" w16cid:durableId="2083941653">
    <w:abstractNumId w:val="6"/>
  </w:num>
  <w:num w:numId="6" w16cid:durableId="1209490849">
    <w:abstractNumId w:val="3"/>
  </w:num>
  <w:num w:numId="7" w16cid:durableId="290522198">
    <w:abstractNumId w:val="1"/>
  </w:num>
  <w:num w:numId="8" w16cid:durableId="1426222937">
    <w:abstractNumId w:val="8"/>
  </w:num>
  <w:num w:numId="9" w16cid:durableId="78920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AA"/>
    <w:rsid w:val="000044FF"/>
    <w:rsid w:val="0001245C"/>
    <w:rsid w:val="000173DA"/>
    <w:rsid w:val="000327A4"/>
    <w:rsid w:val="00046FC9"/>
    <w:rsid w:val="000545F5"/>
    <w:rsid w:val="000667C6"/>
    <w:rsid w:val="00082A52"/>
    <w:rsid w:val="00083D6F"/>
    <w:rsid w:val="000844E5"/>
    <w:rsid w:val="0009364A"/>
    <w:rsid w:val="000A3DF0"/>
    <w:rsid w:val="000B17BC"/>
    <w:rsid w:val="000C02C9"/>
    <w:rsid w:val="000C3CF3"/>
    <w:rsid w:val="000D3DB4"/>
    <w:rsid w:val="000D4505"/>
    <w:rsid w:val="000D6EA6"/>
    <w:rsid w:val="000E3BAB"/>
    <w:rsid w:val="001000D6"/>
    <w:rsid w:val="001033F2"/>
    <w:rsid w:val="00111566"/>
    <w:rsid w:val="00113237"/>
    <w:rsid w:val="001140AF"/>
    <w:rsid w:val="00116640"/>
    <w:rsid w:val="00127CD7"/>
    <w:rsid w:val="001340F1"/>
    <w:rsid w:val="0015082F"/>
    <w:rsid w:val="0015340C"/>
    <w:rsid w:val="00160777"/>
    <w:rsid w:val="0016105F"/>
    <w:rsid w:val="00163694"/>
    <w:rsid w:val="00170B2A"/>
    <w:rsid w:val="00170C6C"/>
    <w:rsid w:val="001710A5"/>
    <w:rsid w:val="00172453"/>
    <w:rsid w:val="00172F23"/>
    <w:rsid w:val="0019613B"/>
    <w:rsid w:val="00196736"/>
    <w:rsid w:val="001A7AEC"/>
    <w:rsid w:val="001B75CE"/>
    <w:rsid w:val="001C1CA5"/>
    <w:rsid w:val="001C3578"/>
    <w:rsid w:val="001C393C"/>
    <w:rsid w:val="001D4BEC"/>
    <w:rsid w:val="001E06B7"/>
    <w:rsid w:val="001E17E4"/>
    <w:rsid w:val="001E2D9E"/>
    <w:rsid w:val="001E7F9B"/>
    <w:rsid w:val="001F0B30"/>
    <w:rsid w:val="001F1221"/>
    <w:rsid w:val="001F137A"/>
    <w:rsid w:val="001F470C"/>
    <w:rsid w:val="001F4787"/>
    <w:rsid w:val="002067A8"/>
    <w:rsid w:val="00213199"/>
    <w:rsid w:val="002155E9"/>
    <w:rsid w:val="002273FF"/>
    <w:rsid w:val="00232AF8"/>
    <w:rsid w:val="002345A5"/>
    <w:rsid w:val="002402DE"/>
    <w:rsid w:val="002415F4"/>
    <w:rsid w:val="00244C61"/>
    <w:rsid w:val="00261BB7"/>
    <w:rsid w:val="00262DF7"/>
    <w:rsid w:val="00267451"/>
    <w:rsid w:val="0028565C"/>
    <w:rsid w:val="002862FA"/>
    <w:rsid w:val="00286FF6"/>
    <w:rsid w:val="002A2D64"/>
    <w:rsid w:val="002B026B"/>
    <w:rsid w:val="002B0414"/>
    <w:rsid w:val="002D6D67"/>
    <w:rsid w:val="002F36FF"/>
    <w:rsid w:val="00301E7D"/>
    <w:rsid w:val="003071B5"/>
    <w:rsid w:val="003077FD"/>
    <w:rsid w:val="00315FFC"/>
    <w:rsid w:val="00327838"/>
    <w:rsid w:val="003303E5"/>
    <w:rsid w:val="003362E6"/>
    <w:rsid w:val="0034141E"/>
    <w:rsid w:val="003659F7"/>
    <w:rsid w:val="0038347B"/>
    <w:rsid w:val="0038380D"/>
    <w:rsid w:val="00385AA9"/>
    <w:rsid w:val="00393D38"/>
    <w:rsid w:val="003B6464"/>
    <w:rsid w:val="003D0DAF"/>
    <w:rsid w:val="003E48A1"/>
    <w:rsid w:val="003E6A8B"/>
    <w:rsid w:val="004062CA"/>
    <w:rsid w:val="00414E44"/>
    <w:rsid w:val="0041503F"/>
    <w:rsid w:val="004222CC"/>
    <w:rsid w:val="00425982"/>
    <w:rsid w:val="00432EED"/>
    <w:rsid w:val="00440062"/>
    <w:rsid w:val="004431AB"/>
    <w:rsid w:val="00457E6D"/>
    <w:rsid w:val="00473B19"/>
    <w:rsid w:val="00473E8F"/>
    <w:rsid w:val="00476277"/>
    <w:rsid w:val="00483D3A"/>
    <w:rsid w:val="0049086A"/>
    <w:rsid w:val="00493D3D"/>
    <w:rsid w:val="00497CCD"/>
    <w:rsid w:val="004A09A0"/>
    <w:rsid w:val="004B08A3"/>
    <w:rsid w:val="004B5932"/>
    <w:rsid w:val="004C2615"/>
    <w:rsid w:val="004C7A12"/>
    <w:rsid w:val="004D18FF"/>
    <w:rsid w:val="004D64B0"/>
    <w:rsid w:val="004E08ED"/>
    <w:rsid w:val="004E4EF1"/>
    <w:rsid w:val="004E4F2B"/>
    <w:rsid w:val="00500461"/>
    <w:rsid w:val="00507E6B"/>
    <w:rsid w:val="00521B0D"/>
    <w:rsid w:val="00524AEF"/>
    <w:rsid w:val="0052733D"/>
    <w:rsid w:val="00534EDE"/>
    <w:rsid w:val="005371E5"/>
    <w:rsid w:val="0054136D"/>
    <w:rsid w:val="0054423B"/>
    <w:rsid w:val="00556AC2"/>
    <w:rsid w:val="00561F6A"/>
    <w:rsid w:val="00563A79"/>
    <w:rsid w:val="00576E0B"/>
    <w:rsid w:val="0058082E"/>
    <w:rsid w:val="0058555B"/>
    <w:rsid w:val="00591E00"/>
    <w:rsid w:val="005A41C2"/>
    <w:rsid w:val="005A6779"/>
    <w:rsid w:val="005C59A6"/>
    <w:rsid w:val="005C7707"/>
    <w:rsid w:val="005D2868"/>
    <w:rsid w:val="005E1B3D"/>
    <w:rsid w:val="005E2E5D"/>
    <w:rsid w:val="005F79BA"/>
    <w:rsid w:val="00600E35"/>
    <w:rsid w:val="00634641"/>
    <w:rsid w:val="00634868"/>
    <w:rsid w:val="00636C24"/>
    <w:rsid w:val="006425FA"/>
    <w:rsid w:val="00654858"/>
    <w:rsid w:val="00661E30"/>
    <w:rsid w:val="00661E43"/>
    <w:rsid w:val="00671324"/>
    <w:rsid w:val="00696557"/>
    <w:rsid w:val="006A3629"/>
    <w:rsid w:val="006C0248"/>
    <w:rsid w:val="006C2584"/>
    <w:rsid w:val="006C568E"/>
    <w:rsid w:val="006D536E"/>
    <w:rsid w:val="006E23DA"/>
    <w:rsid w:val="006E7971"/>
    <w:rsid w:val="006F4B65"/>
    <w:rsid w:val="006F78BD"/>
    <w:rsid w:val="00706AC2"/>
    <w:rsid w:val="007156DA"/>
    <w:rsid w:val="007157EC"/>
    <w:rsid w:val="0072009F"/>
    <w:rsid w:val="0072086B"/>
    <w:rsid w:val="00736985"/>
    <w:rsid w:val="007377DB"/>
    <w:rsid w:val="0074183E"/>
    <w:rsid w:val="00743127"/>
    <w:rsid w:val="00761515"/>
    <w:rsid w:val="00761543"/>
    <w:rsid w:val="00775FAB"/>
    <w:rsid w:val="0078125B"/>
    <w:rsid w:val="007815A3"/>
    <w:rsid w:val="00792CEB"/>
    <w:rsid w:val="007A4649"/>
    <w:rsid w:val="007A66CA"/>
    <w:rsid w:val="007A6B9A"/>
    <w:rsid w:val="007B1952"/>
    <w:rsid w:val="007C50DD"/>
    <w:rsid w:val="007C62F7"/>
    <w:rsid w:val="007C6D80"/>
    <w:rsid w:val="007D42B0"/>
    <w:rsid w:val="007D4E47"/>
    <w:rsid w:val="007F78AA"/>
    <w:rsid w:val="00801ADB"/>
    <w:rsid w:val="00802A9D"/>
    <w:rsid w:val="0080789B"/>
    <w:rsid w:val="00823EE9"/>
    <w:rsid w:val="00827BC9"/>
    <w:rsid w:val="00830C3E"/>
    <w:rsid w:val="00833DA4"/>
    <w:rsid w:val="00867F32"/>
    <w:rsid w:val="008861C3"/>
    <w:rsid w:val="0089213B"/>
    <w:rsid w:val="00892357"/>
    <w:rsid w:val="008931F8"/>
    <w:rsid w:val="00893D02"/>
    <w:rsid w:val="008C1B49"/>
    <w:rsid w:val="008D19B6"/>
    <w:rsid w:val="008E2602"/>
    <w:rsid w:val="008E42D9"/>
    <w:rsid w:val="008F024F"/>
    <w:rsid w:val="008F287D"/>
    <w:rsid w:val="0092057D"/>
    <w:rsid w:val="00943A15"/>
    <w:rsid w:val="00944A47"/>
    <w:rsid w:val="0094707C"/>
    <w:rsid w:val="00951288"/>
    <w:rsid w:val="00953304"/>
    <w:rsid w:val="00955771"/>
    <w:rsid w:val="0097097A"/>
    <w:rsid w:val="00974740"/>
    <w:rsid w:val="009A1632"/>
    <w:rsid w:val="009A60F0"/>
    <w:rsid w:val="009A6FDB"/>
    <w:rsid w:val="009B6315"/>
    <w:rsid w:val="009B7E57"/>
    <w:rsid w:val="009C688B"/>
    <w:rsid w:val="009D4305"/>
    <w:rsid w:val="009E0C1A"/>
    <w:rsid w:val="009E1F8D"/>
    <w:rsid w:val="00A02338"/>
    <w:rsid w:val="00A030AA"/>
    <w:rsid w:val="00A11B44"/>
    <w:rsid w:val="00A13C1F"/>
    <w:rsid w:val="00A158DC"/>
    <w:rsid w:val="00A16A00"/>
    <w:rsid w:val="00A35D63"/>
    <w:rsid w:val="00A3621F"/>
    <w:rsid w:val="00A4218A"/>
    <w:rsid w:val="00A42D60"/>
    <w:rsid w:val="00A528F1"/>
    <w:rsid w:val="00A6273E"/>
    <w:rsid w:val="00A630F2"/>
    <w:rsid w:val="00A66053"/>
    <w:rsid w:val="00A72F74"/>
    <w:rsid w:val="00A751CF"/>
    <w:rsid w:val="00A943DD"/>
    <w:rsid w:val="00AA3771"/>
    <w:rsid w:val="00AB1CE9"/>
    <w:rsid w:val="00AB40E0"/>
    <w:rsid w:val="00AC1373"/>
    <w:rsid w:val="00AF69AF"/>
    <w:rsid w:val="00B027F5"/>
    <w:rsid w:val="00B1764F"/>
    <w:rsid w:val="00B3091E"/>
    <w:rsid w:val="00B4078D"/>
    <w:rsid w:val="00B461B1"/>
    <w:rsid w:val="00B51C38"/>
    <w:rsid w:val="00B52C8C"/>
    <w:rsid w:val="00B6018E"/>
    <w:rsid w:val="00B60A35"/>
    <w:rsid w:val="00B629BD"/>
    <w:rsid w:val="00B75C12"/>
    <w:rsid w:val="00B86462"/>
    <w:rsid w:val="00B90934"/>
    <w:rsid w:val="00B91254"/>
    <w:rsid w:val="00B94212"/>
    <w:rsid w:val="00B96082"/>
    <w:rsid w:val="00BA1999"/>
    <w:rsid w:val="00BB6136"/>
    <w:rsid w:val="00BC0165"/>
    <w:rsid w:val="00BD09D0"/>
    <w:rsid w:val="00BD34EF"/>
    <w:rsid w:val="00BE6BA0"/>
    <w:rsid w:val="00C02D54"/>
    <w:rsid w:val="00C07579"/>
    <w:rsid w:val="00C11530"/>
    <w:rsid w:val="00C12402"/>
    <w:rsid w:val="00C1333E"/>
    <w:rsid w:val="00C17D8C"/>
    <w:rsid w:val="00C21A4C"/>
    <w:rsid w:val="00C23970"/>
    <w:rsid w:val="00C3586B"/>
    <w:rsid w:val="00C44057"/>
    <w:rsid w:val="00C4555C"/>
    <w:rsid w:val="00C46FD7"/>
    <w:rsid w:val="00C51DD0"/>
    <w:rsid w:val="00C62346"/>
    <w:rsid w:val="00C7085A"/>
    <w:rsid w:val="00CA1771"/>
    <w:rsid w:val="00CB6840"/>
    <w:rsid w:val="00CC5569"/>
    <w:rsid w:val="00CD18FA"/>
    <w:rsid w:val="00CD3600"/>
    <w:rsid w:val="00CE304A"/>
    <w:rsid w:val="00CE47BF"/>
    <w:rsid w:val="00CF2633"/>
    <w:rsid w:val="00CF5ED4"/>
    <w:rsid w:val="00D019F8"/>
    <w:rsid w:val="00D04BFB"/>
    <w:rsid w:val="00D065FF"/>
    <w:rsid w:val="00D07385"/>
    <w:rsid w:val="00D15CA3"/>
    <w:rsid w:val="00D203AB"/>
    <w:rsid w:val="00D302CC"/>
    <w:rsid w:val="00D31B93"/>
    <w:rsid w:val="00D328D1"/>
    <w:rsid w:val="00D37959"/>
    <w:rsid w:val="00D426B5"/>
    <w:rsid w:val="00D45C0F"/>
    <w:rsid w:val="00D50A6B"/>
    <w:rsid w:val="00D65E0E"/>
    <w:rsid w:val="00D66AFF"/>
    <w:rsid w:val="00D74CA0"/>
    <w:rsid w:val="00DA4E8A"/>
    <w:rsid w:val="00DB611C"/>
    <w:rsid w:val="00DC1E60"/>
    <w:rsid w:val="00DC5EF3"/>
    <w:rsid w:val="00DE741F"/>
    <w:rsid w:val="00DF5E8D"/>
    <w:rsid w:val="00E23474"/>
    <w:rsid w:val="00E33821"/>
    <w:rsid w:val="00E376BF"/>
    <w:rsid w:val="00E47130"/>
    <w:rsid w:val="00E47609"/>
    <w:rsid w:val="00E5077E"/>
    <w:rsid w:val="00E633E6"/>
    <w:rsid w:val="00EB209A"/>
    <w:rsid w:val="00EC3298"/>
    <w:rsid w:val="00EC32B5"/>
    <w:rsid w:val="00ED0146"/>
    <w:rsid w:val="00ED0D73"/>
    <w:rsid w:val="00ED43EE"/>
    <w:rsid w:val="00EE20B9"/>
    <w:rsid w:val="00EF1CB2"/>
    <w:rsid w:val="00F16537"/>
    <w:rsid w:val="00F2128E"/>
    <w:rsid w:val="00F517BC"/>
    <w:rsid w:val="00F553FE"/>
    <w:rsid w:val="00F61720"/>
    <w:rsid w:val="00F67B3E"/>
    <w:rsid w:val="00F81BC4"/>
    <w:rsid w:val="00F92231"/>
    <w:rsid w:val="00FB4550"/>
    <w:rsid w:val="00FB6201"/>
    <w:rsid w:val="00FC2DCC"/>
    <w:rsid w:val="00FE12C3"/>
    <w:rsid w:val="00FF54D3"/>
    <w:rsid w:val="051BA47A"/>
    <w:rsid w:val="0B823ADE"/>
    <w:rsid w:val="1064B07B"/>
    <w:rsid w:val="28B4C799"/>
    <w:rsid w:val="2EE3ECD7"/>
    <w:rsid w:val="344B6060"/>
    <w:rsid w:val="465BBD5E"/>
    <w:rsid w:val="64132E23"/>
    <w:rsid w:val="65AEFE84"/>
    <w:rsid w:val="665EF978"/>
    <w:rsid w:val="6AD4AD76"/>
    <w:rsid w:val="6F5042DC"/>
    <w:rsid w:val="6FC416EC"/>
    <w:rsid w:val="799395A7"/>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49B3"/>
  <w15:docId w15:val="{05EB8B1A-ED5A-4423-A5A9-B2B3A22C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6CA"/>
    <w:pPr>
      <w:spacing w:line="240" w:lineRule="auto"/>
    </w:pPr>
    <w:rPr>
      <w:rFonts w:ascii="Times New Roman" w:eastAsia="Times New Roman" w:hAnsi="Times New Roman" w:cs="Times New Roman"/>
      <w:sz w:val="24"/>
      <w:szCs w:val="24"/>
      <w:lang w:val="en-SG" w:eastAsia="en-GB"/>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GB" w:eastAsia="en-SG"/>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n-GB" w:eastAsia="en-SG"/>
    </w:rPr>
  </w:style>
  <w:style w:type="paragraph" w:styleId="Heading3">
    <w:name w:val="heading 3"/>
    <w:basedOn w:val="Normal"/>
    <w:next w:val="Normal"/>
    <w:uiPriority w:val="9"/>
    <w:unhideWhenUsed/>
    <w:qFormat/>
    <w:pPr>
      <w:keepNext/>
      <w:keepLines/>
      <w:spacing w:before="320" w:after="80" w:line="276" w:lineRule="auto"/>
      <w:outlineLvl w:val="2"/>
    </w:pPr>
    <w:rPr>
      <w:rFonts w:ascii="Arial" w:eastAsia="Arial" w:hAnsi="Arial" w:cs="Arial"/>
      <w:color w:val="434343"/>
      <w:sz w:val="28"/>
      <w:szCs w:val="28"/>
      <w:lang w:val="en-GB" w:eastAsia="en-SG"/>
    </w:rPr>
  </w:style>
  <w:style w:type="paragraph" w:styleId="Heading4">
    <w:name w:val="heading 4"/>
    <w:basedOn w:val="Normal"/>
    <w:next w:val="Normal"/>
    <w:link w:val="Heading4Char"/>
    <w:uiPriority w:val="9"/>
    <w:unhideWhenUsed/>
    <w:qFormat/>
    <w:pPr>
      <w:keepNext/>
      <w:keepLines/>
      <w:spacing w:before="280" w:after="80" w:line="276" w:lineRule="auto"/>
      <w:outlineLvl w:val="3"/>
    </w:pPr>
    <w:rPr>
      <w:rFonts w:ascii="Arial" w:eastAsia="Arial" w:hAnsi="Arial" w:cs="Arial"/>
      <w:color w:val="666666"/>
      <w:lang w:val="en-GB" w:eastAsia="en-SG"/>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GB" w:eastAsia="en-SG"/>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GB" w:eastAsia="en-S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GB" w:eastAsia="en-SG"/>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GB" w:eastAsia="en-SG"/>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38380D"/>
    <w:rPr>
      <w:sz w:val="16"/>
      <w:szCs w:val="16"/>
    </w:rPr>
  </w:style>
  <w:style w:type="paragraph" w:styleId="CommentText">
    <w:name w:val="annotation text"/>
    <w:basedOn w:val="Normal"/>
    <w:link w:val="CommentTextChar"/>
    <w:uiPriority w:val="99"/>
    <w:semiHidden/>
    <w:unhideWhenUsed/>
    <w:rsid w:val="0038380D"/>
    <w:rPr>
      <w:rFonts w:ascii="Arial" w:eastAsia="Arial" w:hAnsi="Arial" w:cs="Arial"/>
      <w:sz w:val="20"/>
      <w:szCs w:val="20"/>
      <w:lang w:val="en-GB" w:eastAsia="en-SG"/>
    </w:rPr>
  </w:style>
  <w:style w:type="character" w:customStyle="1" w:styleId="CommentTextChar">
    <w:name w:val="Comment Text Char"/>
    <w:basedOn w:val="DefaultParagraphFont"/>
    <w:link w:val="CommentText"/>
    <w:uiPriority w:val="99"/>
    <w:semiHidden/>
    <w:rsid w:val="0038380D"/>
    <w:rPr>
      <w:sz w:val="20"/>
      <w:szCs w:val="20"/>
    </w:rPr>
  </w:style>
  <w:style w:type="paragraph" w:styleId="CommentSubject">
    <w:name w:val="annotation subject"/>
    <w:basedOn w:val="CommentText"/>
    <w:next w:val="CommentText"/>
    <w:link w:val="CommentSubjectChar"/>
    <w:uiPriority w:val="99"/>
    <w:semiHidden/>
    <w:unhideWhenUsed/>
    <w:rsid w:val="0038380D"/>
    <w:rPr>
      <w:b/>
      <w:bCs/>
    </w:rPr>
  </w:style>
  <w:style w:type="character" w:customStyle="1" w:styleId="CommentSubjectChar">
    <w:name w:val="Comment Subject Char"/>
    <w:basedOn w:val="CommentTextChar"/>
    <w:link w:val="CommentSubject"/>
    <w:uiPriority w:val="99"/>
    <w:semiHidden/>
    <w:rsid w:val="0038380D"/>
    <w:rPr>
      <w:b/>
      <w:bCs/>
      <w:sz w:val="20"/>
      <w:szCs w:val="20"/>
    </w:rPr>
  </w:style>
  <w:style w:type="paragraph" w:styleId="ListParagraph">
    <w:name w:val="List Paragraph"/>
    <w:basedOn w:val="Normal"/>
    <w:uiPriority w:val="34"/>
    <w:qFormat/>
    <w:rsid w:val="00A72F74"/>
    <w:pPr>
      <w:spacing w:line="276" w:lineRule="auto"/>
      <w:ind w:left="720"/>
      <w:contextualSpacing/>
    </w:pPr>
    <w:rPr>
      <w:rFonts w:ascii="Arial" w:eastAsia="Arial" w:hAnsi="Arial" w:cs="Arial"/>
      <w:sz w:val="22"/>
      <w:szCs w:val="22"/>
      <w:lang w:val="en-GB" w:eastAsia="en-SG"/>
    </w:rPr>
  </w:style>
  <w:style w:type="paragraph" w:styleId="Header">
    <w:name w:val="header"/>
    <w:basedOn w:val="Normal"/>
    <w:link w:val="HeaderChar"/>
    <w:uiPriority w:val="99"/>
    <w:unhideWhenUsed/>
    <w:rsid w:val="00D50A6B"/>
    <w:pPr>
      <w:tabs>
        <w:tab w:val="center" w:pos="4513"/>
        <w:tab w:val="right" w:pos="9026"/>
      </w:tabs>
    </w:pPr>
    <w:rPr>
      <w:rFonts w:ascii="Arial" w:eastAsia="Arial" w:hAnsi="Arial" w:cs="Arial"/>
      <w:sz w:val="22"/>
      <w:szCs w:val="22"/>
      <w:lang w:val="en-GB" w:eastAsia="en-SG"/>
    </w:rPr>
  </w:style>
  <w:style w:type="character" w:customStyle="1" w:styleId="HeaderChar">
    <w:name w:val="Header Char"/>
    <w:basedOn w:val="DefaultParagraphFont"/>
    <w:link w:val="Header"/>
    <w:uiPriority w:val="99"/>
    <w:rsid w:val="00D50A6B"/>
  </w:style>
  <w:style w:type="paragraph" w:styleId="Footer">
    <w:name w:val="footer"/>
    <w:basedOn w:val="Normal"/>
    <w:link w:val="FooterChar"/>
    <w:uiPriority w:val="99"/>
    <w:unhideWhenUsed/>
    <w:rsid w:val="00D50A6B"/>
    <w:pPr>
      <w:tabs>
        <w:tab w:val="center" w:pos="4513"/>
        <w:tab w:val="right" w:pos="9026"/>
      </w:tabs>
    </w:pPr>
    <w:rPr>
      <w:rFonts w:ascii="Arial" w:eastAsia="Arial" w:hAnsi="Arial" w:cs="Arial"/>
      <w:sz w:val="22"/>
      <w:szCs w:val="22"/>
      <w:lang w:val="en-GB" w:eastAsia="en-SG"/>
    </w:rPr>
  </w:style>
  <w:style w:type="character" w:customStyle="1" w:styleId="FooterChar">
    <w:name w:val="Footer Char"/>
    <w:basedOn w:val="DefaultParagraphFont"/>
    <w:link w:val="Footer"/>
    <w:uiPriority w:val="99"/>
    <w:rsid w:val="00D50A6B"/>
  </w:style>
  <w:style w:type="character" w:styleId="Hyperlink">
    <w:name w:val="Hyperlink"/>
    <w:basedOn w:val="DefaultParagraphFont"/>
    <w:uiPriority w:val="99"/>
    <w:unhideWhenUsed/>
    <w:rsid w:val="00A02338"/>
    <w:rPr>
      <w:color w:val="0000FF" w:themeColor="hyperlink"/>
      <w:u w:val="single"/>
    </w:rPr>
  </w:style>
  <w:style w:type="character" w:styleId="UnresolvedMention">
    <w:name w:val="Unresolved Mention"/>
    <w:basedOn w:val="DefaultParagraphFont"/>
    <w:uiPriority w:val="99"/>
    <w:semiHidden/>
    <w:unhideWhenUsed/>
    <w:rsid w:val="00A02338"/>
    <w:rPr>
      <w:color w:val="605E5C"/>
      <w:shd w:val="clear" w:color="auto" w:fill="E1DFDD"/>
    </w:rPr>
  </w:style>
  <w:style w:type="paragraph" w:styleId="Revision">
    <w:name w:val="Revision"/>
    <w:hidden/>
    <w:uiPriority w:val="99"/>
    <w:semiHidden/>
    <w:rsid w:val="00C3586B"/>
    <w:pPr>
      <w:spacing w:line="240" w:lineRule="auto"/>
    </w:pPr>
  </w:style>
  <w:style w:type="character" w:customStyle="1" w:styleId="Heading4Char">
    <w:name w:val="Heading 4 Char"/>
    <w:basedOn w:val="DefaultParagraphFont"/>
    <w:link w:val="Heading4"/>
    <w:uiPriority w:val="9"/>
    <w:rsid w:val="007A66CA"/>
    <w:rPr>
      <w:color w:val="666666"/>
      <w:sz w:val="24"/>
      <w:szCs w:val="24"/>
    </w:rPr>
  </w:style>
  <w:style w:type="paragraph" w:customStyle="1" w:styleId="CreditLines">
    <w:name w:val="Credit Lines"/>
    <w:basedOn w:val="Normal"/>
    <w:uiPriority w:val="99"/>
    <w:rsid w:val="00473E8F"/>
    <w:pPr>
      <w:framePr w:w="10773" w:hSpace="181" w:vSpace="181" w:wrap="notBeside" w:vAnchor="page" w:hAnchor="margin" w:x="568" w:y="13609"/>
      <w:tabs>
        <w:tab w:val="left" w:pos="5040"/>
      </w:tabs>
      <w:spacing w:after="120" w:line="240" w:lineRule="atLeast"/>
      <w:jc w:val="both"/>
    </w:pPr>
    <w:rPr>
      <w:rFonts w:ascii="Verdana" w:hAnsi="Verdana"/>
      <w:bCs/>
      <w:sz w:val="20"/>
      <w:lang w:val="en-GB" w:eastAsia="en-US"/>
    </w:rPr>
  </w:style>
  <w:style w:type="paragraph" w:customStyle="1" w:styleId="StandardParagraph">
    <w:name w:val="Standard Paragraph"/>
    <w:basedOn w:val="Normal"/>
    <w:link w:val="StandardParagraphChar"/>
    <w:qFormat/>
    <w:rsid w:val="00473E8F"/>
    <w:pPr>
      <w:tabs>
        <w:tab w:val="left" w:pos="5040"/>
      </w:tabs>
      <w:spacing w:after="240"/>
      <w:jc w:val="both"/>
    </w:pPr>
    <w:rPr>
      <w:rFonts w:ascii="Roboto" w:hAnsi="Roboto"/>
      <w:sz w:val="22"/>
      <w:szCs w:val="22"/>
      <w:lang w:val="en-US" w:eastAsia="en-US"/>
    </w:rPr>
  </w:style>
  <w:style w:type="character" w:customStyle="1" w:styleId="StandardParagraphChar">
    <w:name w:val="Standard Paragraph Char"/>
    <w:basedOn w:val="DefaultParagraphFont"/>
    <w:link w:val="StandardParagraph"/>
    <w:rsid w:val="00473E8F"/>
    <w:rPr>
      <w:rFonts w:ascii="Roboto" w:eastAsia="Times New Roman" w:hAnsi="Roboto" w:cs="Times New Roman"/>
      <w:lang w:val="en-US" w:eastAsia="en-US"/>
    </w:rPr>
  </w:style>
  <w:style w:type="paragraph" w:customStyle="1" w:styleId="Indent1">
    <w:name w:val="Indent 1"/>
    <w:basedOn w:val="ListBullet"/>
    <w:link w:val="Indent1Char"/>
    <w:autoRedefine/>
    <w:qFormat/>
    <w:rsid w:val="00473E8F"/>
    <w:pPr>
      <w:numPr>
        <w:numId w:val="0"/>
      </w:numPr>
      <w:spacing w:after="120"/>
      <w:ind w:left="425" w:hanging="425"/>
      <w:contextualSpacing w:val="0"/>
      <w:jc w:val="both"/>
    </w:pPr>
    <w:rPr>
      <w:rFonts w:ascii="Roboto" w:hAnsi="Roboto"/>
      <w:noProof/>
      <w:sz w:val="22"/>
      <w:lang w:val="en-GB" w:eastAsia="en-US"/>
    </w:rPr>
  </w:style>
  <w:style w:type="character" w:customStyle="1" w:styleId="Indent1Char">
    <w:name w:val="Indent 1 Char"/>
    <w:basedOn w:val="DefaultParagraphFont"/>
    <w:link w:val="Indent1"/>
    <w:rsid w:val="00473E8F"/>
    <w:rPr>
      <w:rFonts w:ascii="Roboto" w:eastAsia="Times New Roman" w:hAnsi="Roboto" w:cs="Times New Roman"/>
      <w:noProof/>
      <w:szCs w:val="24"/>
      <w:lang w:eastAsia="en-US"/>
    </w:rPr>
  </w:style>
  <w:style w:type="paragraph" w:styleId="ListBullet">
    <w:name w:val="List Bullet"/>
    <w:basedOn w:val="Normal"/>
    <w:uiPriority w:val="99"/>
    <w:semiHidden/>
    <w:unhideWhenUsed/>
    <w:rsid w:val="00473E8F"/>
    <w:pPr>
      <w:numPr>
        <w:numId w:val="9"/>
      </w:numPr>
      <w:contextualSpacing/>
    </w:pPr>
  </w:style>
  <w:style w:type="paragraph" w:customStyle="1" w:styleId="Exhibitno">
    <w:name w:val="Exhibit no"/>
    <w:basedOn w:val="Normal"/>
    <w:link w:val="ExhibitnoChar"/>
    <w:qFormat/>
    <w:rsid w:val="00473E8F"/>
    <w:pPr>
      <w:jc w:val="center"/>
    </w:pPr>
    <w:rPr>
      <w:rFonts w:ascii="Roboto" w:eastAsiaTheme="minorEastAsia" w:hAnsi="Roboto" w:cs="Arial"/>
      <w:b/>
      <w:color w:val="00684B"/>
      <w:szCs w:val="32"/>
      <w:lang w:val="en-US" w:eastAsia="en-US"/>
    </w:rPr>
  </w:style>
  <w:style w:type="character" w:customStyle="1" w:styleId="ExhibitnoChar">
    <w:name w:val="Exhibit no Char"/>
    <w:basedOn w:val="DefaultParagraphFont"/>
    <w:link w:val="Exhibitno"/>
    <w:rsid w:val="00473E8F"/>
    <w:rPr>
      <w:rFonts w:ascii="Roboto" w:eastAsiaTheme="minorEastAsia" w:hAnsi="Roboto"/>
      <w:b/>
      <w:color w:val="00684B"/>
      <w:sz w:val="24"/>
      <w:szCs w:val="32"/>
      <w:lang w:val="en-US" w:eastAsia="en-US"/>
    </w:rPr>
  </w:style>
  <w:style w:type="paragraph" w:customStyle="1" w:styleId="Exhibittitle">
    <w:name w:val="Exhibit title"/>
    <w:basedOn w:val="Normal"/>
    <w:link w:val="ExhibittitleChar"/>
    <w:qFormat/>
    <w:rsid w:val="00473E8F"/>
    <w:pPr>
      <w:spacing w:after="360"/>
      <w:jc w:val="center"/>
    </w:pPr>
    <w:rPr>
      <w:rFonts w:ascii="Roboto" w:eastAsiaTheme="minorEastAsia" w:hAnsi="Roboto" w:cs="Arial"/>
      <w:i/>
      <w:color w:val="00684B"/>
      <w:szCs w:val="32"/>
      <w:lang w:val="en-US" w:eastAsia="en-US"/>
    </w:rPr>
  </w:style>
  <w:style w:type="character" w:customStyle="1" w:styleId="ExhibittitleChar">
    <w:name w:val="Exhibit title Char"/>
    <w:basedOn w:val="DefaultParagraphFont"/>
    <w:link w:val="Exhibittitle"/>
    <w:rsid w:val="00473E8F"/>
    <w:rPr>
      <w:rFonts w:ascii="Roboto" w:eastAsiaTheme="minorEastAsia" w:hAnsi="Roboto"/>
      <w:i/>
      <w:color w:val="00684B"/>
      <w:sz w:val="24"/>
      <w:szCs w:val="32"/>
      <w:lang w:val="en-US" w:eastAsia="en-US"/>
    </w:rPr>
  </w:style>
  <w:style w:type="paragraph" w:customStyle="1" w:styleId="ExhibitPararagraph">
    <w:name w:val="Exhibit Pararagraph"/>
    <w:basedOn w:val="Normal"/>
    <w:qFormat/>
    <w:rsid w:val="00473E8F"/>
    <w:pPr>
      <w:spacing w:before="120" w:after="120"/>
      <w:jc w:val="both"/>
    </w:pPr>
    <w:rPr>
      <w:rFonts w:ascii="Roboto" w:hAnsi="Roboto"/>
      <w:sz w:val="20"/>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3771">
      <w:bodyDiv w:val="1"/>
      <w:marLeft w:val="0"/>
      <w:marRight w:val="0"/>
      <w:marTop w:val="0"/>
      <w:marBottom w:val="0"/>
      <w:divBdr>
        <w:top w:val="none" w:sz="0" w:space="0" w:color="auto"/>
        <w:left w:val="none" w:sz="0" w:space="0" w:color="auto"/>
        <w:bottom w:val="none" w:sz="0" w:space="0" w:color="auto"/>
        <w:right w:val="none" w:sz="0" w:space="0" w:color="auto"/>
      </w:divBdr>
    </w:div>
    <w:div w:id="285628421">
      <w:bodyDiv w:val="1"/>
      <w:marLeft w:val="0"/>
      <w:marRight w:val="0"/>
      <w:marTop w:val="0"/>
      <w:marBottom w:val="0"/>
      <w:divBdr>
        <w:top w:val="none" w:sz="0" w:space="0" w:color="auto"/>
        <w:left w:val="none" w:sz="0" w:space="0" w:color="auto"/>
        <w:bottom w:val="none" w:sz="0" w:space="0" w:color="auto"/>
        <w:right w:val="none" w:sz="0" w:space="0" w:color="auto"/>
      </w:divBdr>
    </w:div>
    <w:div w:id="977958802">
      <w:bodyDiv w:val="1"/>
      <w:marLeft w:val="0"/>
      <w:marRight w:val="0"/>
      <w:marTop w:val="0"/>
      <w:marBottom w:val="0"/>
      <w:divBdr>
        <w:top w:val="none" w:sz="0" w:space="0" w:color="auto"/>
        <w:left w:val="none" w:sz="0" w:space="0" w:color="auto"/>
        <w:bottom w:val="none" w:sz="0" w:space="0" w:color="auto"/>
        <w:right w:val="none" w:sz="0" w:space="0" w:color="auto"/>
      </w:divBdr>
    </w:div>
    <w:div w:id="167680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shing.insead.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FFAB85586A3B4AAC255F8B6126B336" ma:contentTypeVersion="8" ma:contentTypeDescription="Create a new document." ma:contentTypeScope="" ma:versionID="812819e86785d055c5696a61941b11a4">
  <xsd:schema xmlns:xsd="http://www.w3.org/2001/XMLSchema" xmlns:xs="http://www.w3.org/2001/XMLSchema" xmlns:p="http://schemas.microsoft.com/office/2006/metadata/properties" xmlns:ns2="58748286-97e1-4430-a8d2-f235897e7275" targetNamespace="http://schemas.microsoft.com/office/2006/metadata/properties" ma:root="true" ma:fieldsID="a5c0c19295c28088c0d0b95e7258dfde" ns2:_="">
    <xsd:import namespace="58748286-97e1-4430-a8d2-f235897e7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48286-97e1-4430-a8d2-f235897e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8129A-D704-4E4C-B9AB-06046EE8EC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D22521-80AC-4303-89F6-F4A8B260B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48286-97e1-4430-a8d2-f235897e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1D546-C445-4BA9-8511-645631822FEF}">
  <ds:schemaRefs>
    <ds:schemaRef ds:uri="http://schemas.microsoft.com/sharepoint/v3/contenttype/forms"/>
  </ds:schemaRefs>
</ds:datastoreItem>
</file>

<file path=customXml/itemProps4.xml><?xml version="1.0" encoding="utf-8"?>
<ds:datastoreItem xmlns:ds="http://schemas.openxmlformats.org/officeDocument/2006/customXml" ds:itemID="{747C23CA-314F-FE4A-88EA-E8ACA56B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1647</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Raag</dc:creator>
  <cp:keywords/>
  <cp:lastModifiedBy>LESCALLIER TRAQUET Emilie</cp:lastModifiedBy>
  <cp:revision>20</cp:revision>
  <cp:lastPrinted>2021-04-14T15:19:00Z</cp:lastPrinted>
  <dcterms:created xsi:type="dcterms:W3CDTF">2021-06-17T02:49:00Z</dcterms:created>
  <dcterms:modified xsi:type="dcterms:W3CDTF">2024-11-22T13:57:00Z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0x010100DCFFAB85586A3B4AAC255F8B6126B336</vt:lpwstr>
  </property>
</Properties>
</file>