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C196E" w14:textId="77777777" w:rsidR="008F3054" w:rsidRPr="008F3054" w:rsidRDefault="008F3054" w:rsidP="008F3054">
      <w:pPr>
        <w:bidi/>
        <w:spacing w:after="0" w:line="360" w:lineRule="auto"/>
        <w:rPr>
          <w:rFonts w:ascii="Roboto" w:eastAsia="Times New Roman" w:hAnsi="Roboto" w:cs="Arial"/>
          <w:b/>
          <w:color w:val="00684B"/>
          <w:sz w:val="36"/>
          <w:szCs w:val="44"/>
          <w:rtl/>
        </w:rPr>
      </w:pPr>
      <w:r>
        <w:rPr>
          <w:rFonts w:ascii="Arial" w:hAnsi="Arial" w:hint="cs"/>
          <w:noProof/>
          <w:rtl/>
        </w:rPr>
        <mc:AlternateContent>
          <mc:Choice Requires="wps">
            <w:drawing>
              <wp:anchor distT="0" distB="0" distL="114300" distR="114300" simplePos="0" relativeHeight="251659264" behindDoc="0" locked="0" layoutInCell="1" allowOverlap="1" wp14:anchorId="27A83A66" wp14:editId="7BD51FB0">
                <wp:simplePos x="0" y="0"/>
                <wp:positionH relativeFrom="column">
                  <wp:posOffset>4116796</wp:posOffset>
                </wp:positionH>
                <wp:positionV relativeFrom="paragraph">
                  <wp:posOffset>-635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31000558" w14:textId="77777777" w:rsidR="008F3054" w:rsidRPr="00F7394D" w:rsidRDefault="008F3054" w:rsidP="008F3054">
                            <w:pPr>
                              <w:bidi/>
                              <w:rPr>
                                <w:rFonts w:ascii="Arial" w:hAnsi="Arial" w:cs="Arial"/>
                                <w:b/>
                                <w:color w:val="FFFFFF"/>
                                <w:sz w:val="36"/>
                                <w:szCs w:val="36"/>
                                <w:rtl/>
                              </w:rPr>
                            </w:pPr>
                            <w:r>
                              <w:rPr>
                                <w:rFonts w:ascii="Arial" w:hAnsi="Arial" w:hint="cs"/>
                                <w:b/>
                                <w:bCs/>
                                <w:color w:val="FFFFFF"/>
                                <w:sz w:val="36"/>
                                <w:szCs w:val="36"/>
                                <w:rtl/>
                              </w:rPr>
                              <w:t>مذكرة التدريس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83A66" id="_x0000_t202" coordsize="21600,21600" o:spt="202" path="m,l,21600r21600,l21600,xe">
                <v:stroke joinstyle="miter"/>
                <v:path gradientshapeok="t" o:connecttype="rect"/>
              </v:shapetype>
              <v:shape id="Zone de texte 5" o:spid="_x0000_s1026" type="#_x0000_t202" style="position:absolute;margin-left:324.15pt;margin-top:-.0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" fillcolor="#1f7dbc" stroked="f" strokeweight=".5pt">
                <v:textbox>
                  <w:txbxContent>
                    <w:p w14:paraId="31000558" w14:textId="77777777" w:rsidR="008F3054" w:rsidRPr="00F7394D" w:rsidRDefault="008F3054" w:rsidP="008F3054">
                      <w:pPr>
                        <w:bidi/>
                        <w:rPr>
                          <w:b/>
                          <w:color w:val="FFFFFF"/>
                          <w:sz w:val="36"/>
                          <w:szCs w:val="36"/>
                          <w:rFonts w:ascii="Arial" w:hAnsi="Arial" w:cs="Arial" w:hint="cs"/>
                          <w:rtl/>
                        </w:rPr>
                      </w:pPr>
                      <w:r>
                        <w:rPr>
                          <w:b/>
                          <w:bCs/>
                          <w:color w:val="FFFFFF"/>
                          <w:sz w:val="36"/>
                          <w:szCs w:val="36"/>
                          <w:rFonts w:ascii="Arial" w:hAnsi="Arial" w:hint="cs"/>
                          <w:rtl/>
                        </w:rPr>
                        <w:t xml:space="preserve">مذكرة التدريس</w:t>
                      </w:r>
                    </w:p>
                  </w:txbxContent>
                </v:textbox>
              </v:shape>
            </w:pict>
          </mc:Fallback>
        </mc:AlternateContent>
      </w:r>
    </w:p>
    <w:p w14:paraId="133F5F5F" w14:textId="77777777" w:rsidR="008F3054" w:rsidRPr="005C51B4" w:rsidRDefault="008F3054" w:rsidP="008F3054">
      <w:pPr>
        <w:spacing w:after="0" w:line="360" w:lineRule="auto"/>
        <w:rPr>
          <w:rFonts w:ascii="Roboto" w:eastAsia="Times New Roman" w:hAnsi="Roboto" w:cs="Arial"/>
          <w:b/>
          <w:color w:val="00684B"/>
          <w:sz w:val="36"/>
          <w:szCs w:val="44"/>
          <w:lang w:val="en-US"/>
        </w:rPr>
      </w:pPr>
    </w:p>
    <w:p w14:paraId="013A7A2F" w14:textId="1E79221C" w:rsidR="008F3054" w:rsidRPr="005C51B4" w:rsidRDefault="008F3054" w:rsidP="008F3054">
      <w:pPr>
        <w:bidi/>
        <w:spacing w:after="120" w:line="240" w:lineRule="auto"/>
        <w:rPr>
          <w:rFonts w:ascii="Roboto Slab" w:eastAsia="Times New Roman" w:hAnsi="Roboto Slab" w:cs="Arial"/>
          <w:b/>
          <w:color w:val="00684B"/>
          <w:sz w:val="44"/>
          <w:szCs w:val="44"/>
          <w:rtl/>
        </w:rPr>
      </w:pPr>
      <w:r>
        <w:rPr>
          <w:rFonts w:ascii="Roboto Slab" w:hAnsi="Roboto Slab" w:hint="cs"/>
          <w:b/>
          <w:bCs/>
          <w:color w:val="00684B"/>
          <w:sz w:val="44"/>
          <w:szCs w:val="44"/>
          <w:rtl/>
        </w:rPr>
        <w:t>حالة حفل اليوبيل</w:t>
      </w:r>
    </w:p>
    <w:p w14:paraId="09C85407" w14:textId="0FEE2787" w:rsidR="008F3054" w:rsidRPr="005C51B4" w:rsidRDefault="007D549D" w:rsidP="008F3054">
      <w:pPr>
        <w:framePr w:hSpace="181" w:vSpace="181" w:wrap="notBeside" w:vAnchor="page" w:hAnchor="page" w:x="1419" w:y="11642"/>
        <w:bidi/>
        <w:spacing w:after="0" w:line="240" w:lineRule="auto"/>
        <w:rPr>
          <w:rFonts w:ascii="Roboto" w:eastAsia="Times New Roman" w:hAnsi="Roboto" w:cs="Arial"/>
          <w:sz w:val="20"/>
          <w:szCs w:val="24"/>
          <w:rtl/>
        </w:rPr>
      </w:pPr>
      <w:bookmarkStart w:id="0" w:name="_Hlk168412594"/>
      <w:r w:rsidRPr="00F3017E">
        <w:rPr>
          <w:rFonts w:ascii="Roboto" w:hAnsi="Roboto"/>
          <w:sz w:val="20"/>
          <w:szCs w:val="20"/>
          <w:lang w:val="en-US"/>
        </w:rPr>
        <w:t>11</w:t>
      </w:r>
      <w:r w:rsidR="008F3054">
        <w:rPr>
          <w:rFonts w:ascii="Roboto" w:hAnsi="Roboto" w:hint="cs"/>
          <w:sz w:val="20"/>
          <w:szCs w:val="20"/>
          <w:rtl/>
        </w:rPr>
        <w:t>/2024-6912</w:t>
      </w:r>
    </w:p>
    <w:p w14:paraId="6556121C" w14:textId="7C41FB12" w:rsidR="0041157E" w:rsidRDefault="008F3054" w:rsidP="008F3054">
      <w:pPr>
        <w:framePr w:w="9044" w:hSpace="181" w:vSpace="181" w:wrap="notBeside" w:vAnchor="page" w:hAnchor="page" w:x="1419" w:y="12061"/>
        <w:tabs>
          <w:tab w:val="left" w:pos="5040"/>
        </w:tabs>
        <w:bidi/>
        <w:spacing w:after="120" w:line="240" w:lineRule="atLeast"/>
        <w:jc w:val="both"/>
        <w:rPr>
          <w:rtl/>
        </w:rPr>
      </w:pPr>
      <w:bookmarkStart w:id="1" w:name="_Hlk168421402"/>
      <w:bookmarkStart w:id="2" w:name="_Hlk168412544"/>
      <w:bookmarkEnd w:id="0"/>
      <w:r>
        <w:rPr>
          <w:rFonts w:ascii="Roboto" w:hAnsi="Roboto" w:hint="cs"/>
          <w:sz w:val="20"/>
          <w:szCs w:val="20"/>
          <w:rtl/>
        </w:rPr>
        <w:t xml:space="preserve">كتب مذكرة التدريس هذه ماتيس دي </w:t>
      </w:r>
      <w:proofErr w:type="spellStart"/>
      <w:r>
        <w:rPr>
          <w:rFonts w:ascii="Roboto" w:hAnsi="Roboto" w:hint="cs"/>
          <w:sz w:val="20"/>
          <w:szCs w:val="20"/>
          <w:rtl/>
        </w:rPr>
        <w:t>كيمبينير</w:t>
      </w:r>
      <w:proofErr w:type="spellEnd"/>
      <w:r>
        <w:rPr>
          <w:rFonts w:ascii="Roboto" w:hAnsi="Roboto" w:hint="cs"/>
          <w:sz w:val="20"/>
          <w:szCs w:val="20"/>
          <w:rtl/>
        </w:rPr>
        <w:t xml:space="preserve">، وعمير </w:t>
      </w:r>
      <w:proofErr w:type="spellStart"/>
      <w:r>
        <w:rPr>
          <w:rFonts w:ascii="Roboto" w:hAnsi="Roboto" w:hint="cs"/>
          <w:sz w:val="20"/>
          <w:szCs w:val="20"/>
          <w:rtl/>
        </w:rPr>
        <w:t>تشيشتي</w:t>
      </w:r>
      <w:proofErr w:type="spellEnd"/>
      <w:r>
        <w:rPr>
          <w:rFonts w:ascii="Roboto" w:hAnsi="Roboto" w:hint="cs"/>
          <w:sz w:val="20"/>
          <w:szCs w:val="20"/>
          <w:rtl/>
        </w:rPr>
        <w:t xml:space="preserve">، وجاكوب </w:t>
      </w:r>
      <w:proofErr w:type="spellStart"/>
      <w:r>
        <w:rPr>
          <w:rFonts w:ascii="Roboto" w:hAnsi="Roboto" w:hint="cs"/>
          <w:sz w:val="20"/>
          <w:szCs w:val="20"/>
          <w:rtl/>
        </w:rPr>
        <w:t>كاسبرتشيك</w:t>
      </w:r>
      <w:proofErr w:type="spellEnd"/>
      <w:r>
        <w:rPr>
          <w:rFonts w:ascii="Roboto" w:hAnsi="Roboto" w:hint="cs"/>
          <w:sz w:val="20"/>
          <w:szCs w:val="20"/>
          <w:rtl/>
        </w:rPr>
        <w:t xml:space="preserve">، </w:t>
      </w:r>
      <w:proofErr w:type="spellStart"/>
      <w:r>
        <w:rPr>
          <w:rFonts w:ascii="Roboto" w:hAnsi="Roboto" w:hint="cs"/>
          <w:sz w:val="20"/>
          <w:szCs w:val="20"/>
          <w:rtl/>
        </w:rPr>
        <w:t>وشانتانو</w:t>
      </w:r>
      <w:proofErr w:type="spellEnd"/>
      <w:r>
        <w:rPr>
          <w:rFonts w:ascii="Roboto" w:hAnsi="Roboto" w:hint="cs"/>
          <w:sz w:val="20"/>
          <w:szCs w:val="20"/>
          <w:rtl/>
        </w:rPr>
        <w:t xml:space="preserve"> جاين، </w:t>
      </w:r>
      <w:proofErr w:type="spellStart"/>
      <w:r>
        <w:rPr>
          <w:rFonts w:ascii="Roboto" w:hAnsi="Roboto" w:hint="cs"/>
          <w:sz w:val="20"/>
          <w:szCs w:val="20"/>
          <w:rtl/>
        </w:rPr>
        <w:t>ورودولفو</w:t>
      </w:r>
      <w:proofErr w:type="spellEnd"/>
      <w:r>
        <w:rPr>
          <w:rFonts w:ascii="Roboto" w:hAnsi="Roboto" w:hint="cs"/>
          <w:sz w:val="20"/>
          <w:szCs w:val="20"/>
          <w:rtl/>
        </w:rPr>
        <w:t xml:space="preserve"> </w:t>
      </w:r>
      <w:proofErr w:type="spellStart"/>
      <w:r>
        <w:rPr>
          <w:rFonts w:ascii="Roboto" w:hAnsi="Roboto" w:hint="cs"/>
          <w:sz w:val="20"/>
          <w:szCs w:val="20"/>
          <w:rtl/>
        </w:rPr>
        <w:t>بيليتز</w:t>
      </w:r>
      <w:proofErr w:type="spellEnd"/>
      <w:r>
        <w:rPr>
          <w:rFonts w:ascii="Roboto" w:hAnsi="Roboto" w:hint="cs"/>
          <w:sz w:val="20"/>
          <w:szCs w:val="20"/>
          <w:rtl/>
        </w:rPr>
        <w:t xml:space="preserve">، خريجو ماجستير إدارة الأعمال في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ما بعد الدكتوراه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القرارات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w:t>
      </w:r>
      <w:r>
        <w:rPr>
          <w:rFonts w:ascii="Calibri Body" w:hAnsi="Calibri Body"/>
        </w:rP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t xml:space="preserve"> </w:t>
      </w:r>
      <w:r>
        <w:rPr>
          <w:rFonts w:ascii="Roboto" w:hAnsi="Roboto" w:hint="cs"/>
          <w:sz w:val="20"/>
          <w:szCs w:val="20"/>
          <w:rtl/>
        </w:rPr>
        <w:t xml:space="preserve"> كمساعد للمُحاضرين عند تمثيل مسرحية تقمص الأدوار "</w:t>
      </w:r>
      <w:r>
        <w:rPr>
          <w:rFonts w:ascii="Roboto" w:hAnsi="Roboto" w:hint="cs"/>
          <w:i/>
          <w:iCs/>
          <w:sz w:val="20"/>
          <w:szCs w:val="20"/>
          <w:rtl/>
        </w:rPr>
        <w:t>حالة حفل اليوبيل</w:t>
      </w:r>
      <w:r>
        <w:rPr>
          <w:rFonts w:ascii="Roboto" w:hAnsi="Roboto" w:hint="cs"/>
          <w:sz w:val="20"/>
          <w:szCs w:val="20"/>
          <w:rtl/>
        </w:rPr>
        <w:t>" في الفصول الدراسية.</w:t>
      </w:r>
      <w:r>
        <w:t xml:space="preserve"> </w:t>
      </w:r>
    </w:p>
    <w:p w14:paraId="654C4178" w14:textId="20BF48BC" w:rsidR="008F3054" w:rsidRPr="005C51B4" w:rsidRDefault="008F3054" w:rsidP="008F3054">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r>
        <w:rPr>
          <w:rFonts w:ascii="Roboto" w:hAnsi="Roboto" w:hint="cs"/>
          <w:sz w:val="20"/>
          <w:szCs w:val="20"/>
          <w:rtl/>
        </w:rPr>
        <w:t xml:space="preserve">يود المؤلفون توجيه الشكر إلى مارتينا </w:t>
      </w:r>
      <w:proofErr w:type="spellStart"/>
      <w:r>
        <w:rPr>
          <w:rFonts w:ascii="Roboto" w:hAnsi="Roboto" w:hint="cs"/>
          <w:sz w:val="20"/>
          <w:szCs w:val="20"/>
          <w:rtl/>
        </w:rPr>
        <w:t>كياري</w:t>
      </w:r>
      <w:proofErr w:type="spellEnd"/>
      <w:r>
        <w:rPr>
          <w:rFonts w:ascii="Roboto" w:hAnsi="Roboto" w:hint="cs"/>
          <w:sz w:val="20"/>
          <w:szCs w:val="20"/>
          <w:rtl/>
        </w:rPr>
        <w:t xml:space="preserve"> على تعليقاتها على هذا الدور.</w:t>
      </w:r>
      <w:r>
        <w:rPr>
          <w:rFonts w:ascii="Roboto" w:hAnsi="Roboto"/>
          <w:sz w:val="20"/>
          <w:szCs w:val="20"/>
        </w:rPr>
        <w:t xml:space="preserve"> </w:t>
      </w:r>
      <w:bookmarkEnd w:id="1"/>
    </w:p>
    <w:p w14:paraId="397889E3" w14:textId="77777777" w:rsidR="008F3054" w:rsidRPr="005C51B4" w:rsidRDefault="008F3054" w:rsidP="008F3054">
      <w:pPr>
        <w:framePr w:w="9044" w:hSpace="181" w:vSpace="181" w:wrap="notBeside" w:vAnchor="page" w:hAnchor="page" w:x="1419" w:y="12061"/>
        <w:widowControl w:val="0"/>
        <w:tabs>
          <w:tab w:val="left" w:pos="5040"/>
        </w:tabs>
        <w:bidi/>
        <w:spacing w:after="120" w:line="240" w:lineRule="atLeast"/>
        <w:jc w:val="both"/>
        <w:rPr>
          <w:rFonts w:ascii="Roboto" w:eastAsia="Times New Roman" w:hAnsi="Roboto" w:cs="Arial"/>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8" w:history="1">
        <w:r>
          <w:rPr>
            <w:rFonts w:ascii="Roboto" w:hAnsi="Roboto"/>
            <w:color w:val="0000FF"/>
            <w:sz w:val="20"/>
            <w:u w:val="single"/>
          </w:rPr>
          <w:t>https://publishing.insead.edu/</w:t>
        </w:r>
      </w:hyperlink>
      <w:r>
        <w:rPr>
          <w:rFonts w:ascii="Roboto" w:hAnsi="Roboto"/>
          <w:color w:val="1F497D"/>
          <w:sz w:val="20"/>
          <w:szCs w:val="20"/>
        </w:rPr>
        <w:t>.</w:t>
      </w:r>
    </w:p>
    <w:bookmarkEnd w:id="2"/>
    <w:p w14:paraId="562A6E76" w14:textId="77777777" w:rsidR="003B4E0B" w:rsidRDefault="003B4E0B" w:rsidP="00E033E3">
      <w:pPr>
        <w:framePr w:w="9044" w:hSpace="181" w:vSpace="181" w:wrap="notBeside" w:vAnchor="page" w:hAnchor="page" w:x="1419" w:y="12061"/>
        <w:tabs>
          <w:tab w:val="left" w:pos="5040"/>
        </w:tabs>
        <w:spacing w:after="120" w:line="240" w:lineRule="atLeast"/>
        <w:jc w:val="right"/>
        <w:rPr>
          <w:rFonts w:ascii="Roboto" w:eastAsia="Times New Roman" w:hAnsi="Roboto" w:cs="Times New Roman"/>
          <w:bCs/>
          <w:sz w:val="20"/>
          <w:szCs w:val="20"/>
          <w:lang w:bidi="ar-SA"/>
        </w:rPr>
      </w:pPr>
      <w:r w:rsidRPr="003B4E0B">
        <w:rPr>
          <w:rFonts w:ascii="Roboto" w:eastAsia="Times New Roman" w:hAnsi="Roboto" w:cs="Times New Roman"/>
          <w:bCs/>
          <w:sz w:val="20"/>
          <w:szCs w:val="20"/>
          <w:lang w:bidi="ar-SA"/>
        </w:rPr>
        <w:t xml:space="preserve">Translated using an LLM (Large Language Model) and edited by </w:t>
      </w:r>
      <w:proofErr w:type="spellStart"/>
      <w:r w:rsidRPr="003B4E0B">
        <w:rPr>
          <w:rFonts w:ascii="Roboto" w:eastAsia="Times New Roman" w:hAnsi="Roboto" w:cs="Times New Roman"/>
          <w:bCs/>
          <w:sz w:val="20"/>
          <w:szCs w:val="20"/>
          <w:lang w:bidi="ar-SA"/>
        </w:rPr>
        <w:t>Tilti</w:t>
      </w:r>
      <w:proofErr w:type="spellEnd"/>
      <w:r w:rsidRPr="003B4E0B">
        <w:rPr>
          <w:rFonts w:ascii="Roboto" w:eastAsia="Times New Roman" w:hAnsi="Roboto" w:cs="Times New Roman"/>
          <w:bCs/>
          <w:sz w:val="20"/>
          <w:szCs w:val="20"/>
          <w:lang w:bidi="ar-SA"/>
        </w:rPr>
        <w:t xml:space="preserve"> Multilingual SIA, with the permission of </w:t>
      </w:r>
      <w:proofErr w:type="spellStart"/>
      <w:r w:rsidRPr="003B4E0B">
        <w:rPr>
          <w:rFonts w:ascii="Roboto" w:eastAsia="Times New Roman" w:hAnsi="Roboto" w:cs="Times New Roman"/>
          <w:bCs/>
          <w:sz w:val="20"/>
          <w:szCs w:val="20"/>
          <w:lang w:bidi="ar-SA"/>
        </w:rPr>
        <w:t>INSEAD.</w:t>
      </w:r>
      <w:r w:rsidR="007D549D" w:rsidRPr="00E033E3">
        <w:rPr>
          <w:rFonts w:ascii="Roboto" w:eastAsia="Times New Roman" w:hAnsi="Roboto" w:cs="Times New Roman"/>
          <w:bCs/>
          <w:sz w:val="20"/>
          <w:szCs w:val="20"/>
          <w:lang w:bidi="ar-SA"/>
        </w:rPr>
        <w:t>This</w:t>
      </w:r>
      <w:proofErr w:type="spellEnd"/>
      <w:r w:rsidR="007D549D" w:rsidRPr="00E033E3">
        <w:rPr>
          <w:rFonts w:ascii="Roboto" w:eastAsia="Times New Roman" w:hAnsi="Roboto" w:cs="Times New Roman"/>
          <w:bCs/>
          <w:sz w:val="20"/>
          <w:szCs w:val="20"/>
          <w:lang w:bidi="ar-SA"/>
        </w:rPr>
        <w:t xml:space="preserve"> translation, Copyright © 2024 INSEAD. </w:t>
      </w:r>
    </w:p>
    <w:p w14:paraId="2B1575D1" w14:textId="627C5088" w:rsidR="007D549D" w:rsidRPr="00E033E3" w:rsidRDefault="007D549D" w:rsidP="00E033E3">
      <w:pPr>
        <w:framePr w:w="9044" w:hSpace="181" w:vSpace="181" w:wrap="notBeside" w:vAnchor="page" w:hAnchor="page" w:x="1419" w:y="12061"/>
        <w:tabs>
          <w:tab w:val="left" w:pos="5040"/>
        </w:tabs>
        <w:spacing w:after="120" w:line="240" w:lineRule="atLeast"/>
        <w:jc w:val="right"/>
        <w:rPr>
          <w:rFonts w:ascii="Roboto" w:eastAsia="Times New Roman" w:hAnsi="Roboto" w:cs="Times New Roman"/>
          <w:bCs/>
          <w:sz w:val="20"/>
          <w:szCs w:val="20"/>
          <w:lang w:bidi="ar-SA"/>
        </w:rPr>
      </w:pPr>
      <w:r w:rsidRPr="00E033E3">
        <w:rPr>
          <w:rFonts w:ascii="Roboto" w:eastAsia="Times New Roman" w:hAnsi="Roboto" w:cs="Times New Roman"/>
          <w:bCs/>
          <w:sz w:val="20"/>
          <w:szCs w:val="20"/>
          <w:lang w:bidi="ar-SA"/>
        </w:rPr>
        <w:t>The original teaching note is entitled “</w:t>
      </w:r>
      <w:r w:rsidRPr="00E033E3">
        <w:rPr>
          <w:rFonts w:ascii="Roboto" w:eastAsia="Times New Roman" w:hAnsi="Roboto" w:cs="Times New Roman"/>
          <w:bCs/>
          <w:i/>
          <w:iCs/>
          <w:sz w:val="20"/>
          <w:szCs w:val="20"/>
          <w:lang w:bidi="ar-SA"/>
        </w:rPr>
        <w:t>Jubilee Case</w:t>
      </w:r>
      <w:r w:rsidRPr="00E033E3">
        <w:rPr>
          <w:rFonts w:ascii="Roboto" w:eastAsia="Times New Roman" w:hAnsi="Roboto" w:cs="Times New Roman"/>
          <w:bCs/>
          <w:sz w:val="20"/>
          <w:szCs w:val="20"/>
          <w:lang w:bidi="ar-SA"/>
        </w:rPr>
        <w:t>” (06/2024-6912), Copyright © 2024 INSEAD</w:t>
      </w:r>
    </w:p>
    <w:p w14:paraId="14095B13" w14:textId="77777777" w:rsidR="0076655E" w:rsidRPr="007D549D" w:rsidRDefault="0076655E" w:rsidP="001D2CB1">
      <w:pPr>
        <w:jc w:val="center"/>
        <w:rPr>
          <w:rFonts w:cstheme="minorHAnsi"/>
          <w:b/>
          <w:color w:val="000000" w:themeColor="text1"/>
          <w:sz w:val="24"/>
          <w:szCs w:val="24"/>
          <w:lang w:val="en-US"/>
        </w:rPr>
      </w:pPr>
    </w:p>
    <w:p w14:paraId="08254C67" w14:textId="77777777" w:rsidR="008F3054" w:rsidRDefault="008F3054" w:rsidP="001D2CB1">
      <w:pPr>
        <w:jc w:val="center"/>
        <w:rPr>
          <w:rFonts w:cstheme="minorHAnsi"/>
          <w:b/>
          <w:color w:val="000000" w:themeColor="text1"/>
          <w:sz w:val="24"/>
          <w:szCs w:val="24"/>
          <w:lang w:val="en-US"/>
        </w:rPr>
        <w:sectPr w:rsidR="008F3054" w:rsidSect="008F3054">
          <w:headerReference w:type="even" r:id="rId9"/>
          <w:headerReference w:type="default" r:id="rId10"/>
          <w:footerReference w:type="even" r:id="rId11"/>
          <w:footerReference w:type="default" r:id="rId12"/>
          <w:headerReference w:type="first" r:id="rId13"/>
          <w:footerReference w:type="first" r:id="rId14"/>
          <w:pgSz w:w="11906" w:h="16838"/>
          <w:pgMar w:top="2569" w:right="1418" w:bottom="1531" w:left="1418" w:header="709" w:footer="709" w:gutter="0"/>
          <w:cols w:space="708"/>
          <w:docGrid w:linePitch="360"/>
        </w:sectPr>
      </w:pPr>
    </w:p>
    <w:p w14:paraId="37446ED6" w14:textId="7A503512" w:rsidR="004C6A73" w:rsidRPr="0076655E" w:rsidRDefault="004C6A73" w:rsidP="0041157E">
      <w:pPr>
        <w:pStyle w:val="Title1"/>
        <w:bidi/>
        <w:spacing w:before="0"/>
        <w:rPr>
          <w:rtl/>
        </w:rPr>
      </w:pPr>
      <w:r>
        <w:rPr>
          <w:rFonts w:hint="cs"/>
          <w:rtl/>
        </w:rPr>
        <w:lastRenderedPageBreak/>
        <w:t>نظرة عامة</w:t>
      </w:r>
    </w:p>
    <w:p w14:paraId="5B852DDE" w14:textId="6385BAB9" w:rsidR="003E4A35" w:rsidRPr="0076655E" w:rsidRDefault="0099659C" w:rsidP="0076655E">
      <w:pPr>
        <w:pStyle w:val="StandardParagraph"/>
        <w:bidi/>
        <w:rPr>
          <w:rtl/>
        </w:rPr>
      </w:pPr>
      <w:r>
        <w:rPr>
          <w:rFonts w:hint="cs"/>
          <w:rtl/>
        </w:rPr>
        <w:t>حفل اليوبيل هو حالة لاكتشاف القيمة تهدف إلى تعليم الطلاب كيفية استكشاف وفهم المصالح الأساسية لدى الطرف الآخر وإيجاد حلول إبداعية للوصول إلى اتفاقيات.</w:t>
      </w:r>
      <w:r>
        <w:t xml:space="preserve"> </w:t>
      </w:r>
      <w:r>
        <w:rPr>
          <w:rFonts w:hint="cs"/>
          <w:rtl/>
        </w:rPr>
        <w:t>ظاهريًا، يبدو التوصل إلى صفقة بشأن السعر مستحيلًا، مع وجود منطقة مساومة سلبية أو منطقة محتملة (</w:t>
      </w:r>
      <w:r>
        <w:t>ZOPA</w:t>
      </w:r>
      <w:r>
        <w:rPr>
          <w:rFonts w:hint="cs"/>
          <w:rtl/>
        </w:rPr>
        <w:t>).</w:t>
      </w:r>
      <w:r>
        <w:t xml:space="preserve"> </w:t>
      </w:r>
      <w:r>
        <w:rPr>
          <w:rFonts w:hint="cs"/>
          <w:rtl/>
        </w:rPr>
        <w:t>فمديرة المدرسة تريد حدًا أدنى لسعر الإيجار لاستخدام أراضي المدرسة (سعر الحجز الأولي أو أسوأ عرض مقبول بقيمة 200 ألف يورو) أكبر مما يرغب منظم حفل اليوبيل في دفعه (سعر الحجز الأولي بقيمة 150 ألف يورو).</w:t>
      </w:r>
      <w:r>
        <w:t xml:space="preserve"> </w:t>
      </w:r>
      <w:r>
        <w:rPr>
          <w:rFonts w:hint="cs"/>
          <w:rtl/>
        </w:rPr>
        <w:t>ولسد هذه الفجوة، يتعين عليهم أن يدركوا أن منظم اليوبيل يمكنه أن يعرض ترك المطعم الذي تم بناؤه لحفل اليوبيل لتدريبات المدرسة (بقيمة 50 ألف يورو لمدير المدرسة)، وعرض برامج تدريب لطلاب المدرسة المهنية (بقيمة 30 ألف يورو لمدير المدرسة)، ونقل قاعة المدرسة إلى موقع جديد مفضل (بقيمة 20 ألف يورو لمديرة المدرسة)، وكل ذلك سيلبي مصالح مهمة للمدرسة ويسمح لمديرة المدرسة بخفض السعر المطلوب بما يصل إلى 100 ألف يورو في المجمل.</w:t>
      </w:r>
      <w:r>
        <w:t xml:space="preserve"> </w:t>
      </w:r>
      <w:r>
        <w:rPr>
          <w:rFonts w:hint="cs"/>
          <w:rtl/>
        </w:rPr>
        <w:t xml:space="preserve">وإذا تم العثور على جميع التفضيلات الثلاثة المتوافقة (أي المشتركة) ومصادر القيمة الأساسية، تصبح منطقة المساومة أو </w:t>
      </w:r>
      <w:r>
        <w:t>ZOPA</w:t>
      </w:r>
      <w:r>
        <w:rPr>
          <w:rFonts w:hint="cs"/>
          <w:rtl/>
        </w:rPr>
        <w:t xml:space="preserve"> إيجابية، وتتراوح بين حوالي 100 ألف يورو و150 ألف يورو.</w:t>
      </w:r>
      <w:r>
        <w:t xml:space="preserve"> </w:t>
      </w:r>
    </w:p>
    <w:p w14:paraId="1FD00B53" w14:textId="529989A7" w:rsidR="003E4A35" w:rsidRPr="0076655E" w:rsidRDefault="003E4A35" w:rsidP="0076655E">
      <w:pPr>
        <w:pStyle w:val="StandardParagraph"/>
        <w:bidi/>
        <w:rPr>
          <w:rtl/>
        </w:rPr>
      </w:pPr>
      <w:r>
        <w:rPr>
          <w:rFonts w:hint="cs"/>
          <w:rtl/>
        </w:rPr>
        <w:t xml:space="preserve">يستند حفل اليوبيل إلى قصة حقيقية لطالب ماجستير إدارة الأعمال في </w:t>
      </w:r>
      <w:r>
        <w:t>INSEAD</w:t>
      </w:r>
      <w:r>
        <w:rPr>
          <w:rFonts w:hint="cs"/>
          <w:rtl/>
        </w:rPr>
        <w:t xml:space="preserve"> الذي نظم اليوبيل لجامعته في هولندا.</w:t>
      </w:r>
      <w:r>
        <w:t xml:space="preserve"> </w:t>
      </w:r>
      <w:r>
        <w:rPr>
          <w:rFonts w:hint="cs"/>
          <w:rtl/>
        </w:rPr>
        <w:t>وفي الحياة الواقعية، تمكن الطرفان (منظم اليوبيل ومديرة المدرسة) من اكتشاف اثنين من المصادر الثلاثة الكامنة للقيمة المخفية (المطعم وقاعة المحاضرات، ولكن ليس برامج التدريب) والتوصل إلى صفقة.</w:t>
      </w:r>
      <w:r>
        <w:t xml:space="preserve"> </w:t>
      </w:r>
      <w:r>
        <w:rPr>
          <w:rFonts w:hint="cs"/>
          <w:rtl/>
        </w:rPr>
        <w:t>إذ أدركا أنهما كانا قادرين على خلق المزيد من القيمة من خلال برامج التدريب فقط بعد حفل اليوبيل، عندما فات الأوان للقيام بذلك.</w:t>
      </w:r>
      <w:r>
        <w:t xml:space="preserve"> </w:t>
      </w:r>
    </w:p>
    <w:p w14:paraId="47B6B202" w14:textId="46EB2F95" w:rsidR="00E81619" w:rsidRPr="0076655E" w:rsidRDefault="00E81619" w:rsidP="0076655E">
      <w:pPr>
        <w:pStyle w:val="Title1"/>
        <w:bidi/>
        <w:spacing w:before="0"/>
        <w:ind w:left="426" w:hanging="426"/>
        <w:rPr>
          <w:rtl/>
        </w:rPr>
      </w:pPr>
      <w:r>
        <w:rPr>
          <w:rFonts w:hint="cs"/>
          <w:rtl/>
        </w:rPr>
        <w:t>الخط الزمني</w:t>
      </w:r>
    </w:p>
    <w:p w14:paraId="4BC65092" w14:textId="35BC6DC2" w:rsidR="00F53E6A" w:rsidRPr="0076655E" w:rsidRDefault="0099659C" w:rsidP="0076655E">
      <w:pPr>
        <w:pStyle w:val="StandardParagraph"/>
        <w:bidi/>
        <w:rPr>
          <w:rtl/>
        </w:rPr>
      </w:pPr>
      <w:r>
        <w:rPr>
          <w:rFonts w:hint="cs"/>
          <w:rtl/>
        </w:rPr>
        <w:t>يستغرق التمرين 15 دقيقة للتحضير وحوالي 45 دقيقة إلى ساعة للتفاوض.</w:t>
      </w:r>
      <w:r>
        <w:t xml:space="preserve"> </w:t>
      </w:r>
      <w:r>
        <w:rPr>
          <w:rFonts w:hint="cs"/>
          <w:rtl/>
        </w:rPr>
        <w:t>يجب إخبار الطلاب بأنه لا يمكنهم إظهار مواد دورهم لبعضهم البعض، باستثناء نموذج الاتفاقية في دور مديرة المدرسة.</w:t>
      </w:r>
      <w:r>
        <w:t xml:space="preserve"> </w:t>
      </w:r>
      <w:r>
        <w:rPr>
          <w:rFonts w:hint="cs"/>
          <w:rtl/>
        </w:rPr>
        <w:t>بالإضافة إلى ذلك، يجب ألا يتجاوزوا المعلومات الواردة في الأدوار، أو بعبارة أخرى، ألا يكذبوا صراحةً.</w:t>
      </w:r>
      <w:r>
        <w:t xml:space="preserve"> </w:t>
      </w:r>
    </w:p>
    <w:p w14:paraId="3B8FCC8B" w14:textId="6338EB4A" w:rsidR="0099659C" w:rsidRPr="0076655E" w:rsidRDefault="00427688" w:rsidP="0076655E">
      <w:pPr>
        <w:pStyle w:val="StandardParagraph"/>
        <w:bidi/>
        <w:rPr>
          <w:rtl/>
        </w:rPr>
      </w:pPr>
      <w:r>
        <w:rPr>
          <w:rFonts w:hint="cs"/>
          <w:rtl/>
        </w:rPr>
        <w:t>يحق للمُحاضرة أن تطلب من الطلاب التفاوض عبر الهاتف أو البريد الإلكتروني؛ وهو ما من شأنه أن يزيد من صعوبة توصيل المعلومات وإيجاد حلول مربحة للطرفين بشكل كبير.</w:t>
      </w:r>
      <w:r>
        <w:t xml:space="preserve"> </w:t>
      </w:r>
      <w:r>
        <w:rPr>
          <w:rFonts w:hint="cs"/>
          <w:rtl/>
        </w:rPr>
        <w:t xml:space="preserve">وإذا كان التواصل يتم عن بُعد، فيجب تخصيص ساعة واحدة للتفاوض (أي الحد الأقصى من الفترة الزمنية التي تتراوح بين 45 و60 دقيقة)، كما يجب التأكيد على أنه لا يجوز للمفاوضين إرسال أي جانب من جوانب المواد الخاصة بدورهم إلى بعضهم البعض بما في ذلك مخططات الطابق الموضحة في الملاحق.    </w:t>
      </w:r>
    </w:p>
    <w:p w14:paraId="408CDFDE" w14:textId="1A3B1F24" w:rsidR="00E81619" w:rsidRPr="0076655E" w:rsidRDefault="00E81619" w:rsidP="0076655E">
      <w:pPr>
        <w:pStyle w:val="StandardParagraph"/>
        <w:bidi/>
        <w:rPr>
          <w:rtl/>
        </w:rPr>
      </w:pPr>
      <w:r>
        <w:rPr>
          <w:rFonts w:hint="cs"/>
          <w:rtl/>
        </w:rPr>
        <w:t xml:space="preserve">يجب على المُحاضرة أن تسمح بفترة استراحة لمدة 10-15 دقيقة بعد انتهاء المفاوضات، مما يمنحها الوقت لاستخدام نماذج النتائج لإنشاء ملخص نتائج على برنامج </w:t>
      </w:r>
      <w:r>
        <w:t>Excel</w:t>
      </w:r>
      <w:r>
        <w:rPr>
          <w:rFonts w:hint="cs"/>
          <w:rtl/>
        </w:rPr>
        <w:t xml:space="preserve"> يوضح ما إذا تم التوصل إلى اتفاق أم لا (اتفاق مقابل طريق مسدود)، وحلول مربحة للجانبين (نعم/لا بشأن المطعم، والقاعة، وبرامج التدريب)، وأسعار الإيجار النهائية، وأية تفاصيل أخرى.</w:t>
      </w:r>
      <w:r>
        <w:t xml:space="preserve"> </w:t>
      </w:r>
    </w:p>
    <w:p w14:paraId="28EF5FC8" w14:textId="69F55205" w:rsidR="005E2AE0" w:rsidRPr="0076655E" w:rsidRDefault="005E2AE0" w:rsidP="0076655E">
      <w:pPr>
        <w:pStyle w:val="Title2"/>
        <w:bidi/>
        <w:rPr>
          <w:rtl/>
        </w:rPr>
      </w:pPr>
      <w:r>
        <w:rPr>
          <w:rFonts w:hint="cs"/>
          <w:rtl/>
        </w:rPr>
        <w:t>ملخص المناقشة</w:t>
      </w:r>
    </w:p>
    <w:p w14:paraId="5C00277D" w14:textId="084D313F" w:rsidR="005E2AE0" w:rsidRPr="0076655E" w:rsidRDefault="005E2AE0" w:rsidP="008F298D">
      <w:pPr>
        <w:pStyle w:val="Indent1"/>
        <w:bidi/>
        <w:rPr>
          <w:rtl/>
        </w:rPr>
      </w:pPr>
      <w:r>
        <w:rPr>
          <w:rFonts w:hint="cs"/>
          <w:rtl/>
        </w:rPr>
        <w:t xml:space="preserve">في جلسة المناقشة، تعرض المُحاضرة جدول ملخص نتائج </w:t>
      </w:r>
      <w:r>
        <w:t>Excel</w:t>
      </w:r>
      <w:r>
        <w:rPr>
          <w:rFonts w:hint="cs"/>
          <w:rtl/>
        </w:rPr>
        <w:t xml:space="preserve"> وتسأل أولًا ما إذا كان الطلاب قد أبرموا صفقة أم لا، ولماذا.</w:t>
      </w:r>
      <w:r>
        <w:t xml:space="preserve"> </w:t>
      </w:r>
    </w:p>
    <w:p w14:paraId="48105325" w14:textId="77777777" w:rsidR="0076655E" w:rsidRDefault="005E2AE0" w:rsidP="008F298D">
      <w:pPr>
        <w:pStyle w:val="Indent1"/>
        <w:bidi/>
        <w:rPr>
          <w:rtl/>
        </w:rPr>
      </w:pPr>
      <w:r>
        <w:rPr>
          <w:rFonts w:hint="cs"/>
          <w:rtl/>
        </w:rPr>
        <w:t>ثم ينبغي لها أن تسأل عن من تمكن من اكتشاف المصادر الثلاثة للقيمة (المطعم، قاعة المحاضرات، وبرامج التدريب)، ولماذا، أو لماذا لا.</w:t>
      </w:r>
      <w:r>
        <w:t xml:space="preserve"> </w:t>
      </w:r>
      <w:r>
        <w:rPr>
          <w:rFonts w:hint="cs"/>
          <w:rtl/>
        </w:rPr>
        <w:t>وقد تختار المُحاضرة الصفقات المُبالغ فيها، مثل الطرق المسدودة التي لم يتم اكتشاف قيمتها، أو الحالات التي تم فيها إيجاد كل الحلول الإبداعية، أو أسعار الإيجار المرتفعة أو المنخفضة بشكل غير عادي، وتسأل ثنائي الطلاب المعني عن كيفية توصلهم إلى هذه النتيجة.</w:t>
      </w:r>
      <w:r>
        <w:t xml:space="preserve"> </w:t>
      </w:r>
    </w:p>
    <w:p w14:paraId="16C4A90A" w14:textId="3C69F608" w:rsidR="004416D5" w:rsidRPr="0076655E" w:rsidRDefault="004416D5" w:rsidP="008F298D">
      <w:pPr>
        <w:pStyle w:val="Indent1"/>
        <w:bidi/>
        <w:rPr>
          <w:rtl/>
        </w:rPr>
      </w:pPr>
      <w:r>
        <w:rPr>
          <w:rFonts w:hint="cs"/>
          <w:rtl/>
        </w:rPr>
        <w:t xml:space="preserve">وللتوصل إلى اتفاق، يتعين على المفاوضين أن يتجاوزوا </w:t>
      </w:r>
      <w:r>
        <w:rPr>
          <w:rFonts w:hint="cs"/>
          <w:b/>
          <w:bCs/>
          <w:rtl/>
        </w:rPr>
        <w:t>المواقف السطحية</w:t>
      </w:r>
      <w:r>
        <w:rPr>
          <w:rFonts w:hint="cs"/>
          <w:rtl/>
        </w:rPr>
        <w:t xml:space="preserve"> (150 ألف يورو مقابل 200 ألف يورو لسعر الإيجار) وأن ينتقلوا إلى </w:t>
      </w:r>
      <w:r>
        <w:rPr>
          <w:rFonts w:hint="cs"/>
          <w:b/>
          <w:bCs/>
          <w:rtl/>
        </w:rPr>
        <w:t>المصالح</w:t>
      </w:r>
      <w:r>
        <w:rPr>
          <w:rFonts w:hint="cs"/>
          <w:rtl/>
        </w:rPr>
        <w:t xml:space="preserve"> أو الأهداف الكامنة (الحد من تكاليف حفل اليوبيل وإقامة مهرجان رائع لمنظم اليوبيل؛ وتلبية الاحتياجات المالية، والمكانية، والتعليمية للمدرسة المهنية وتلاميذها لصالح مديرة المدرسة).</w:t>
      </w:r>
      <w:r>
        <w:t xml:space="preserve"> </w:t>
      </w:r>
      <w:r>
        <w:rPr>
          <w:rFonts w:hint="cs"/>
          <w:rtl/>
        </w:rPr>
        <w:t>وهذا يسمح لهم بتقديم خيارات جديدة إبداعية، مثل أن يقدم المنظم لطلاب المدرسة المهنية تدريبات صيفية، وأن يقوم فريق حفل اليوبيل ببناء مطعم ومطبخ جديدين يخدمان احتياجاتهم واحتياجات المدرسة، وأن يقوم طاقم بناء اليوبيل بنقل قاعة المدرسة إلى الموقع المفضل لمديرة المدرسة للحد من تكاليف الطاقة على المدى الطويل.</w:t>
      </w:r>
    </w:p>
    <w:p w14:paraId="25328B21" w14:textId="1417A870" w:rsidR="00201794" w:rsidRPr="0076655E" w:rsidRDefault="005E2AE0" w:rsidP="008F298D">
      <w:pPr>
        <w:pStyle w:val="Indent1"/>
        <w:bidi/>
        <w:rPr>
          <w:rtl/>
        </w:rPr>
      </w:pPr>
      <w:r>
        <w:rPr>
          <w:rFonts w:hint="cs"/>
          <w:rtl/>
        </w:rPr>
        <w:lastRenderedPageBreak/>
        <w:t>يمكن للمُحاضرة أن تسأل عن مدى شفافية الطرفين مع بعضهما البعض.</w:t>
      </w:r>
      <w:r>
        <w:t xml:space="preserve"> </w:t>
      </w:r>
      <w:r>
        <w:rPr>
          <w:rFonts w:hint="cs"/>
          <w:rtl/>
        </w:rPr>
        <w:t>هل أفصحا عن كل المعلومات (</w:t>
      </w:r>
      <w:r>
        <w:rPr>
          <w:rFonts w:hint="cs"/>
          <w:i/>
          <w:iCs/>
          <w:rtl/>
        </w:rPr>
        <w:t>ما الذي أفصحت عنه؟</w:t>
      </w:r>
      <w:r>
        <w:rPr>
          <w:i/>
          <w:iCs/>
        </w:rPr>
        <w:t xml:space="preserve"> </w:t>
      </w:r>
      <w:r>
        <w:rPr>
          <w:rFonts w:hint="cs"/>
          <w:i/>
          <w:iCs/>
          <w:rtl/>
        </w:rPr>
        <w:t>ما المعلومات التي أخفيتماها ولماذا؟</w:t>
      </w:r>
      <w:r>
        <w:rPr>
          <w:rFonts w:hint="cs"/>
          <w:rtl/>
        </w:rPr>
        <w:t>).</w:t>
      </w:r>
      <w:r>
        <w:t xml:space="preserve"> </w:t>
      </w:r>
      <w:r>
        <w:rPr>
          <w:rFonts w:hint="cs"/>
          <w:rtl/>
        </w:rPr>
        <w:t>ويمكنها التأكيد على الحذر في الكشف عن المعلومات بشكل متبادل (تبادل المعلومات)، بدلًا من الشفافية الكاملة من جانب واحد، لتجنب الاستغلال في المفاوضات إذا لعب الطرف الآخر لعبة الربح والخسارة.</w:t>
      </w:r>
      <w:r>
        <w:t xml:space="preserve"> </w:t>
      </w:r>
    </w:p>
    <w:p w14:paraId="6B596EF1" w14:textId="3A32EEBD" w:rsidR="00201794" w:rsidRPr="0076655E" w:rsidRDefault="00201794" w:rsidP="008F298D">
      <w:pPr>
        <w:pStyle w:val="Indent1"/>
        <w:bidi/>
        <w:rPr>
          <w:rtl/>
        </w:rPr>
      </w:pPr>
      <w:r>
        <w:rPr>
          <w:rFonts w:hint="cs"/>
          <w:rtl/>
        </w:rPr>
        <w:t xml:space="preserve">ربما استخدم أحد المفاوضين أو الآخر </w:t>
      </w:r>
      <w:r>
        <w:rPr>
          <w:rFonts w:hint="cs"/>
          <w:b/>
          <w:bCs/>
          <w:rtl/>
        </w:rPr>
        <w:t>تكتيكات وهمية</w:t>
      </w:r>
      <w:r>
        <w:rPr>
          <w:rFonts w:hint="cs"/>
          <w:rtl/>
        </w:rPr>
        <w:t>، بمعنى آخر، التظاهر بأن التفضيل المتوافق (على سبيل المثال، طلاب من المدرسة المهنية يساعدون في بناء حفل اليوبيل) مكلف بالنسبة لهم ومقايضته بمزيد من التنازلات من الطرف الآخر.</w:t>
      </w:r>
      <w:r>
        <w:t xml:space="preserve"> </w:t>
      </w:r>
      <w:r>
        <w:rPr>
          <w:rFonts w:hint="cs"/>
          <w:rtl/>
        </w:rPr>
        <w:t>يجب على المُحاضرة أن تسأل عما إذا كان أي من الطلاب قد استخدم تكتيكات وهمية، أو تم استخدام تكتيكات وهمية ضدهم.</w:t>
      </w:r>
      <w:r>
        <w:t xml:space="preserve"> </w:t>
      </w:r>
      <w:r>
        <w:rPr>
          <w:rFonts w:hint="cs"/>
          <w:rtl/>
        </w:rPr>
        <w:t>يوضح الأخير المخاطر التي قد تأتي مع الشفافية - الكشف عن تفضيل متوافق أو مشترك قد يؤدي إلى محادثة تعاونية مربحة للجانبين مع الجانب الآخر، ولكن قد يؤدي أيضًا إلى استخدام الجانب الآخر لهذه المعلومات ضدك.</w:t>
      </w:r>
    </w:p>
    <w:p w14:paraId="2B7C7137" w14:textId="58B92FA6" w:rsidR="00FE3CFE" w:rsidRPr="0076655E" w:rsidRDefault="005E2AE0" w:rsidP="008F298D">
      <w:pPr>
        <w:pStyle w:val="Indent1"/>
        <w:bidi/>
        <w:rPr>
          <w:rtl/>
        </w:rPr>
      </w:pPr>
      <w:r>
        <w:rPr>
          <w:rFonts w:hint="cs"/>
          <w:rtl/>
        </w:rPr>
        <w:t>حتى بعد تعظيم القيمة، يجب المطالبة بها أيضًا.</w:t>
      </w:r>
      <w:r>
        <w:t xml:space="preserve"> </w:t>
      </w:r>
      <w:r>
        <w:rPr>
          <w:rFonts w:hint="cs"/>
          <w:rtl/>
        </w:rPr>
        <w:t>بعد تحويل منطقة المساومة السلبية إلى منطقة إيجابية من خلال إدراك مديرة المدرسة لقيمة مطعم حفل اليوبيل، ونقل القاعة، وفرص برامج التدريب، لا يزال يتعين تقسيم الغنيمة بين الجانبين.</w:t>
      </w:r>
      <w:r>
        <w:t xml:space="preserve"> </w:t>
      </w:r>
      <w:r>
        <w:rPr>
          <w:rFonts w:hint="cs"/>
          <w:rtl/>
        </w:rPr>
        <w:t>كيف حققوا ذلك؟</w:t>
      </w:r>
      <w:r>
        <w:t xml:space="preserve"> </w:t>
      </w:r>
    </w:p>
    <w:p w14:paraId="0914561E" w14:textId="550D8372" w:rsidR="00F41252" w:rsidRPr="0076655E" w:rsidRDefault="00FE3CFE" w:rsidP="008F298D">
      <w:pPr>
        <w:pStyle w:val="Indent1"/>
        <w:bidi/>
        <w:rPr>
          <w:rtl/>
        </w:rPr>
      </w:pPr>
      <w:r>
        <w:rPr>
          <w:rFonts w:hint="cs"/>
          <w:rtl/>
        </w:rPr>
        <w:t>عند مناقشة المطالبة بالقيمة، قد تشير المُحاضرة إلى مفاهيم التفاوض التوزيعي مثل سعر الحجز (السعر الأدنى المقبول)، أو سعر التطلُّع، أو سعر الهدف (هدف متفائل ولكن في نفس الوقت واقعي)، أو أفضل بديل لاتفاقية تفاوضية (</w:t>
      </w:r>
      <w:r>
        <w:t>BATNA)</w:t>
      </w:r>
      <w:r>
        <w:rPr>
          <w:rFonts w:hint="cs"/>
          <w:rtl/>
        </w:rPr>
        <w:t>، أو منطقة المساومة، أو منطقة الاتفاق المحتمل (</w:t>
      </w:r>
      <w:r>
        <w:t>ZOPA</w:t>
      </w:r>
      <w:r>
        <w:rPr>
          <w:rFonts w:hint="cs"/>
          <w:rtl/>
        </w:rPr>
        <w:t>) بين أسعار الحجز الخاصة بالجانبين المعنيين.</w:t>
      </w:r>
      <w:r>
        <w:t xml:space="preserve"> </w:t>
      </w:r>
      <w:r>
        <w:rPr>
          <w:rFonts w:hint="cs"/>
          <w:rtl/>
        </w:rPr>
        <w:t>يمكن تقديم هذه المفاهيم هنا أو في تمرين تفاوضي توزيعي سابق مثل الحالة الفنية أو التفاوض على المنح الدراسية.</w:t>
      </w:r>
      <w:r>
        <w:t xml:space="preserve"> </w:t>
      </w:r>
    </w:p>
    <w:p w14:paraId="124E3F5C" w14:textId="691C77FC" w:rsidR="00F41252" w:rsidRPr="0076655E" w:rsidRDefault="00323AE5" w:rsidP="008F298D">
      <w:pPr>
        <w:pStyle w:val="Indent1"/>
        <w:bidi/>
        <w:rPr>
          <w:rtl/>
        </w:rPr>
      </w:pPr>
      <w:r>
        <w:rPr>
          <w:rFonts w:hint="cs"/>
          <w:rtl/>
        </w:rPr>
        <w:t>قد تلاحظ المُحاضرة أن العروض الأولى القوية يمكن أن تساعد المفاوض على المطالبة بالقيمة في المفاوضات القائمة على السعر لقضية واحدة، ولكنها تميل أيضًا إلى منع خلق القيمة.  وقد تسأل عما إذا كان هذا قد حدث لأي من ثنائيات التفاوض في قضية حفل اليوبيل.</w:t>
      </w:r>
      <w:r>
        <w:t xml:space="preserve"> </w:t>
      </w:r>
      <w:r>
        <w:rPr>
          <w:rFonts w:hint="cs"/>
          <w:rtl/>
        </w:rPr>
        <w:t>هل فشل أي من الثنائيات في اكتشاف القيمة والتوصل إلى صفقة جزئيًا بسبب العروض الأولى المندفعة أو العروض المضادة؟</w:t>
      </w:r>
      <w:r>
        <w:t xml:space="preserve"> </w:t>
      </w:r>
      <w:r>
        <w:rPr>
          <w:rFonts w:hint="cs"/>
          <w:rtl/>
        </w:rPr>
        <w:t>هل كانت هناك أي مجموعات كادت العروض المُبالغ فيها أن تعرقل فيها المفاوضات، لكنها تمكنت من العودة إلى المسار الصحيح، وإذا كان الأمر كذلك، فكيف حولوا مجرى المحادثة؟</w:t>
      </w:r>
    </w:p>
    <w:p w14:paraId="7DB4BB29" w14:textId="37288E1F" w:rsidR="005424B9" w:rsidRDefault="005424B9" w:rsidP="008F298D">
      <w:pPr>
        <w:pStyle w:val="Indent1"/>
        <w:bidi/>
        <w:rPr>
          <w:rtl/>
        </w:rPr>
      </w:pPr>
      <w:r>
        <w:rPr>
          <w:rFonts w:hint="cs"/>
          <w:rtl/>
        </w:rPr>
        <w:t>يمكن للمُحاضرة أن تسأل كيف أثرت المفاوضات على العلاقة بين الطرفين؟</w:t>
      </w:r>
      <w:r>
        <w:t xml:space="preserve"> </w:t>
      </w:r>
      <w:r>
        <w:rPr>
          <w:rFonts w:hint="cs"/>
          <w:rtl/>
        </w:rPr>
        <w:t>من الناحية المثالية، لا ننتهي من المفاوضات بصفقة جيدة من حيث الجوهر فحسب (على سبيل المثال، السعر وغيره من القضايا المادية)، لكن نتمتع أيضًا بعلاقة جيدة مع الطرف الآخر.</w:t>
      </w:r>
      <w:r>
        <w:t xml:space="preserve"> </w:t>
      </w:r>
    </w:p>
    <w:p w14:paraId="25A5B81D" w14:textId="5EE2567C" w:rsidR="005A0AFF" w:rsidRPr="0076655E" w:rsidRDefault="005424B9" w:rsidP="008F298D">
      <w:pPr>
        <w:pStyle w:val="Indent1"/>
        <w:bidi/>
        <w:rPr>
          <w:rtl/>
        </w:rPr>
      </w:pPr>
      <w:r>
        <w:rPr>
          <w:rFonts w:hint="cs"/>
          <w:rtl/>
        </w:rPr>
        <w:t>إذا تم التعامل مع حالة حفل اليوبيل عبر البريد الإلكتروني أو الهاتف، يمكن للمُحاضرة ملاحظة أن قنوات الاتصال الفقيرة تؤدي إلى المزيد من الصفقات الفاشلة، وتقليل خلق القيمة، والمزيد من الصراعات.</w:t>
      </w:r>
      <w:r>
        <w:t xml:space="preserve"> </w:t>
      </w:r>
      <w:r>
        <w:rPr>
          <w:rFonts w:hint="cs"/>
          <w:rtl/>
        </w:rPr>
        <w:t>فعندما يكون ذلك ممكنًا، يجب على المفاوضين محاولة الاجتماع وجهًا لوجه لإجراء الصفقات التجارية من هذا النوع.</w:t>
      </w:r>
    </w:p>
    <w:p w14:paraId="59C02395" w14:textId="7B13E792" w:rsidR="00FE3CFE" w:rsidRPr="001D0CE5" w:rsidRDefault="00FE3CFE" w:rsidP="008F298D">
      <w:pPr>
        <w:pStyle w:val="Title1"/>
        <w:bidi/>
        <w:rPr>
          <w:rtl/>
        </w:rPr>
      </w:pPr>
      <w:r>
        <w:rPr>
          <w:rFonts w:hint="cs"/>
          <w:rtl/>
        </w:rPr>
        <w:t>المراجع</w:t>
      </w:r>
    </w:p>
    <w:p w14:paraId="55A6C90E" w14:textId="77777777" w:rsidR="00672344" w:rsidRDefault="00672344" w:rsidP="00672344">
      <w:pPr>
        <w:pStyle w:val="StandardParagraph"/>
        <w:jc w:val="left"/>
        <w:rPr>
          <w:rFonts w:cstheme="minorHAnsi"/>
          <w:color w:val="000000" w:themeColor="text1"/>
          <w:lang w:val="en-GB"/>
        </w:rPr>
      </w:pPr>
      <w:r w:rsidRPr="00A24FFB">
        <w:rPr>
          <w:rFonts w:cstheme="minorHAnsi"/>
          <w:color w:val="000000" w:themeColor="text1"/>
          <w:lang w:val="en-GB"/>
        </w:rPr>
        <w:t>Falcão, H. (2012). </w:t>
      </w:r>
      <w:r w:rsidRPr="00A24FFB">
        <w:rPr>
          <w:rFonts w:cstheme="minorHAnsi"/>
          <w:i/>
          <w:iCs/>
          <w:color w:val="000000" w:themeColor="text1"/>
          <w:lang w:val="en-GB"/>
        </w:rPr>
        <w:t>Value negotiation: How to finally get the win-win right</w:t>
      </w:r>
      <w:r w:rsidRPr="00A24FFB">
        <w:rPr>
          <w:rFonts w:cstheme="minorHAnsi"/>
          <w:color w:val="000000" w:themeColor="text1"/>
          <w:lang w:val="en-GB"/>
        </w:rPr>
        <w:t>. FT Press.</w:t>
      </w:r>
    </w:p>
    <w:p w14:paraId="7A7BF680" w14:textId="77777777" w:rsidR="00672344" w:rsidRPr="0041157E" w:rsidRDefault="00672344" w:rsidP="00672344">
      <w:pPr>
        <w:pStyle w:val="StandardParagraph"/>
        <w:jc w:val="left"/>
        <w:rPr>
          <w:rFonts w:cstheme="minorHAnsi"/>
          <w:color w:val="000000" w:themeColor="text1"/>
        </w:rPr>
      </w:pPr>
      <w:r w:rsidRPr="0041157E">
        <w:rPr>
          <w:rFonts w:cstheme="minorHAnsi"/>
          <w:color w:val="000000" w:themeColor="text1"/>
        </w:rPr>
        <w:t xml:space="preserve">Galinsky, A. D. (2004). Should you make the first offer? </w:t>
      </w:r>
      <w:r w:rsidRPr="0041157E">
        <w:rPr>
          <w:rFonts w:cstheme="minorHAnsi"/>
          <w:i/>
          <w:color w:val="000000" w:themeColor="text1"/>
        </w:rPr>
        <w:t>Negotiation, 7</w:t>
      </w:r>
      <w:r w:rsidRPr="0041157E">
        <w:rPr>
          <w:rFonts w:cstheme="minorHAnsi"/>
          <w:color w:val="000000" w:themeColor="text1"/>
        </w:rPr>
        <w:t xml:space="preserve">, pp. 1-4. </w:t>
      </w:r>
    </w:p>
    <w:p w14:paraId="00AC733B" w14:textId="77777777" w:rsidR="00672344" w:rsidRPr="0041157E" w:rsidRDefault="00672344" w:rsidP="00672344">
      <w:pPr>
        <w:pStyle w:val="StandardParagraph"/>
        <w:jc w:val="left"/>
        <w:rPr>
          <w:rFonts w:cstheme="minorHAnsi"/>
          <w:color w:val="000000" w:themeColor="text1"/>
        </w:rPr>
      </w:pPr>
      <w:r w:rsidRPr="0041157E">
        <w:rPr>
          <w:rFonts w:cstheme="minorHAnsi"/>
          <w:color w:val="000000" w:themeColor="text1"/>
        </w:rPr>
        <w:t xml:space="preserve">Gunia, B. C., </w:t>
      </w:r>
      <w:proofErr w:type="spellStart"/>
      <w:r w:rsidRPr="0041157E">
        <w:rPr>
          <w:rFonts w:cstheme="minorHAnsi"/>
          <w:color w:val="000000" w:themeColor="text1"/>
        </w:rPr>
        <w:t>Swaab</w:t>
      </w:r>
      <w:proofErr w:type="spellEnd"/>
      <w:r w:rsidRPr="0041157E">
        <w:rPr>
          <w:rFonts w:cstheme="minorHAnsi"/>
          <w:color w:val="000000" w:themeColor="text1"/>
        </w:rPr>
        <w:t xml:space="preserve">, R. I., Sivanathan, N. &amp; </w:t>
      </w:r>
      <w:r w:rsidRPr="0041157E">
        <w:t>Galinsky</w:t>
      </w:r>
      <w:r w:rsidRPr="0041157E">
        <w:rPr>
          <w:rFonts w:cstheme="minorHAnsi"/>
          <w:color w:val="000000" w:themeColor="text1"/>
        </w:rPr>
        <w:t xml:space="preserve">, A. D. (2013). The remarkable robustness of the first-offer effect: Across cultures, power, and issues. </w:t>
      </w:r>
      <w:r w:rsidRPr="0041157E">
        <w:rPr>
          <w:rFonts w:cstheme="minorHAnsi"/>
          <w:i/>
          <w:color w:val="000000" w:themeColor="text1"/>
        </w:rPr>
        <w:t>Personality and Social Psychology Bulletin, 39</w:t>
      </w:r>
      <w:r w:rsidRPr="0041157E">
        <w:rPr>
          <w:rFonts w:cstheme="minorHAnsi"/>
          <w:color w:val="000000" w:themeColor="text1"/>
        </w:rPr>
        <w:t xml:space="preserve">, 1547 – 1558. </w:t>
      </w:r>
    </w:p>
    <w:p w14:paraId="72CD531B" w14:textId="77777777" w:rsidR="00672344" w:rsidRPr="0041157E" w:rsidRDefault="00672344" w:rsidP="00672344">
      <w:pPr>
        <w:pStyle w:val="StandardParagraph"/>
        <w:jc w:val="left"/>
        <w:rPr>
          <w:rFonts w:cstheme="minorHAnsi"/>
          <w:color w:val="000000" w:themeColor="text1"/>
        </w:rPr>
      </w:pPr>
      <w:proofErr w:type="spellStart"/>
      <w:r w:rsidRPr="00F7394D">
        <w:rPr>
          <w:rFonts w:cstheme="minorHAnsi"/>
          <w:color w:val="000000" w:themeColor="text1"/>
          <w:lang w:val="en-GB"/>
        </w:rPr>
        <w:t>Sinaceur</w:t>
      </w:r>
      <w:proofErr w:type="spellEnd"/>
      <w:r w:rsidRPr="00F7394D">
        <w:rPr>
          <w:rFonts w:cstheme="minorHAnsi"/>
          <w:color w:val="000000" w:themeColor="text1"/>
          <w:lang w:val="en-GB"/>
        </w:rPr>
        <w:t xml:space="preserve">, M., Maddux, W., Vasiljevic, D., </w:t>
      </w:r>
      <w:proofErr w:type="spellStart"/>
      <w:r w:rsidRPr="00F7394D">
        <w:rPr>
          <w:rFonts w:cstheme="minorHAnsi"/>
          <w:color w:val="000000" w:themeColor="text1"/>
          <w:lang w:val="en-GB"/>
        </w:rPr>
        <w:t>Nuckel</w:t>
      </w:r>
      <w:proofErr w:type="spellEnd"/>
      <w:r w:rsidRPr="00F7394D">
        <w:rPr>
          <w:rFonts w:cstheme="minorHAnsi"/>
          <w:color w:val="000000" w:themeColor="text1"/>
          <w:lang w:val="en-GB"/>
        </w:rPr>
        <w:t xml:space="preserve">, R., &amp; Galinsky, A. D. (2013).  </w:t>
      </w:r>
      <w:r w:rsidRPr="0041157E">
        <w:rPr>
          <w:rFonts w:cstheme="minorHAnsi"/>
          <w:color w:val="000000" w:themeColor="text1"/>
        </w:rPr>
        <w:t xml:space="preserve">Good things come to those who wait: Late first offers facilitate creative agreements in negotiation.  </w:t>
      </w:r>
      <w:r w:rsidRPr="0041157E">
        <w:rPr>
          <w:rFonts w:cstheme="minorHAnsi"/>
          <w:i/>
          <w:color w:val="000000" w:themeColor="text1"/>
        </w:rPr>
        <w:t>Personality and Social Psychology Bulletin, 39</w:t>
      </w:r>
      <w:r w:rsidRPr="0041157E">
        <w:rPr>
          <w:rFonts w:cstheme="minorHAnsi"/>
          <w:color w:val="000000" w:themeColor="text1"/>
        </w:rPr>
        <w:t xml:space="preserve">, 814-825. </w:t>
      </w:r>
    </w:p>
    <w:p w14:paraId="549B5030" w14:textId="7CE78825" w:rsidR="00947A87" w:rsidRPr="0041157E" w:rsidRDefault="00672344" w:rsidP="007D549D">
      <w:pPr>
        <w:pStyle w:val="StandardParagraph"/>
        <w:jc w:val="left"/>
        <w:rPr>
          <w:rFonts w:cstheme="minorHAnsi"/>
          <w:color w:val="000000" w:themeColor="text1"/>
          <w:rtl/>
        </w:rPr>
      </w:pPr>
      <w:proofErr w:type="spellStart"/>
      <w:r w:rsidRPr="0041157E">
        <w:rPr>
          <w:rFonts w:cstheme="minorHAnsi"/>
          <w:color w:val="000000" w:themeColor="text1"/>
        </w:rPr>
        <w:t>Swaab</w:t>
      </w:r>
      <w:proofErr w:type="spellEnd"/>
      <w:r w:rsidRPr="0041157E">
        <w:rPr>
          <w:rFonts w:cstheme="minorHAnsi"/>
          <w:color w:val="000000" w:themeColor="text1"/>
        </w:rPr>
        <w:t xml:space="preserve">, R.I., Galinsky, A.D., Medvec, V., &amp; </w:t>
      </w:r>
      <w:proofErr w:type="spellStart"/>
      <w:r w:rsidRPr="0041157E">
        <w:t>Diermeier</w:t>
      </w:r>
      <w:proofErr w:type="spellEnd"/>
      <w:r w:rsidRPr="0041157E">
        <w:rPr>
          <w:rFonts w:cstheme="minorHAnsi"/>
          <w:color w:val="000000" w:themeColor="text1"/>
        </w:rPr>
        <w:t xml:space="preserve">, D.A. (2012). The communication orientation model: Explaining the diverse effects of sight, sound, and synchronicity on negotiation and group decision-making outcomes. </w:t>
      </w:r>
      <w:r w:rsidRPr="0041157E">
        <w:rPr>
          <w:rFonts w:cstheme="minorHAnsi"/>
          <w:i/>
          <w:color w:val="000000" w:themeColor="text1"/>
        </w:rPr>
        <w:t>Personality and Social Psychology Review, 16,</w:t>
      </w:r>
      <w:r w:rsidRPr="0041157E">
        <w:rPr>
          <w:rFonts w:cstheme="minorHAnsi"/>
          <w:color w:val="000000" w:themeColor="text1"/>
        </w:rPr>
        <w:t xml:space="preserve"> 25-53. </w:t>
      </w:r>
    </w:p>
    <w:sectPr w:rsidR="00947A87" w:rsidRPr="0041157E" w:rsidSect="008F3054">
      <w:headerReference w:type="default" r:id="rId15"/>
      <w:footerReference w:type="default" r:id="rId16"/>
      <w:pgSz w:w="11906" w:h="16838"/>
      <w:pgMar w:top="2126"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57B9A" w14:textId="77777777" w:rsidR="00AB607E" w:rsidRDefault="00AB607E" w:rsidP="00BC6FB7">
      <w:pPr>
        <w:spacing w:after="0" w:line="240" w:lineRule="auto"/>
      </w:pPr>
      <w:r>
        <w:separator/>
      </w:r>
    </w:p>
  </w:endnote>
  <w:endnote w:type="continuationSeparator" w:id="0">
    <w:p w14:paraId="3C1DBAC1" w14:textId="77777777" w:rsidR="00AB607E" w:rsidRDefault="00AB607E" w:rsidP="00BC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2FF" w:usb1="5000205B" w:usb2="00000020" w:usb3="00000000" w:csb0="0000019F"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5F482" w14:textId="77777777" w:rsidR="00EE42D4" w:rsidRDefault="00EE4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F0D9" w14:textId="77777777" w:rsidR="00EE42D4" w:rsidRDefault="00EE4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AD36" w14:textId="77777777" w:rsidR="00EE42D4" w:rsidRDefault="00EE42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FD1E2" w14:textId="77777777" w:rsidR="008F3054" w:rsidRPr="0088626B" w:rsidRDefault="008F3054" w:rsidP="008F3054">
    <w:pPr>
      <w:tabs>
        <w:tab w:val="right" w:pos="9026"/>
      </w:tabs>
      <w:bidi/>
      <w:spacing w:after="0" w:line="240" w:lineRule="auto"/>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88626B">
      <w:rPr>
        <w:rFonts w:ascii="Roboto" w:eastAsia="Times New Roman" w:hAnsi="Roboto" w:cs="Arial" w:hint="cs"/>
        <w:sz w:val="20"/>
        <w:rtl/>
      </w:rPr>
      <w:fldChar w:fldCharType="begin"/>
    </w:r>
    <w:r>
      <w:rPr>
        <w:rtl/>
      </w:rPr>
      <w:instrText xml:space="preserve"> </w:instrText>
    </w:r>
    <w:r w:rsidRPr="0088626B">
      <w:rPr>
        <w:rFonts w:ascii="Roboto" w:eastAsia="Times New Roman" w:hAnsi="Roboto" w:cs="Arial" w:hint="cs"/>
        <w:sz w:val="20"/>
      </w:rPr>
      <w:instrText xml:space="preserve">PAGE   \* MERGEFORMAT </w:instrText>
    </w:r>
    <w:r w:rsidRPr="0088626B">
      <w:rPr>
        <w:rFonts w:ascii="Roboto" w:eastAsia="Times New Roman" w:hAnsi="Roboto" w:cs="Arial" w:hint="cs"/>
        <w:sz w:val="20"/>
        <w:rtl/>
      </w:rPr>
      <w:fldChar w:fldCharType="separate"/>
    </w:r>
    <w:r>
      <w:rPr>
        <w:rFonts w:ascii="Roboto" w:eastAsia="Times New Roman" w:hAnsi="Roboto" w:cs="Arial" w:hint="cs"/>
        <w:sz w:val="20"/>
        <w:rtl/>
      </w:rPr>
      <w:t>1</w:t>
    </w:r>
    <w:r w:rsidRPr="0088626B">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FAEF" w14:textId="77777777" w:rsidR="00AB607E" w:rsidRDefault="00AB607E" w:rsidP="00BC6FB7">
      <w:pPr>
        <w:spacing w:after="0" w:line="240" w:lineRule="auto"/>
      </w:pPr>
      <w:r>
        <w:separator/>
      </w:r>
    </w:p>
  </w:footnote>
  <w:footnote w:type="continuationSeparator" w:id="0">
    <w:p w14:paraId="13A43E6F" w14:textId="77777777" w:rsidR="00AB607E" w:rsidRDefault="00AB607E" w:rsidP="00BC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2398B" w14:textId="77777777" w:rsidR="00EE42D4" w:rsidRDefault="00EE4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74C3A" w14:textId="03B8CBBB" w:rsidR="0076655E" w:rsidRDefault="008F3054" w:rsidP="00EE42D4">
    <w:pPr>
      <w:pStyle w:val="Header"/>
      <w:tabs>
        <w:tab w:val="clear" w:pos="4680"/>
        <w:tab w:val="clear" w:pos="9360"/>
        <w:tab w:val="left" w:pos="1164"/>
      </w:tabs>
      <w:bidi/>
      <w:ind w:left="-851"/>
      <w:rPr>
        <w:rtl/>
      </w:rPr>
    </w:pPr>
    <w:r>
      <w:rPr>
        <w:rFonts w:ascii="Times New Roman" w:hAnsi="Times New Roman" w:hint="cs"/>
        <w:noProof/>
        <w:sz w:val="24"/>
        <w:rtl/>
      </w:rPr>
      <w:drawing>
        <wp:inline distT="0" distB="0" distL="0" distR="0" wp14:anchorId="636C6BD2" wp14:editId="51713B8B">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B1F8" w14:textId="77777777" w:rsidR="00EE42D4" w:rsidRDefault="00EE42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9DE3F" w14:textId="0509D6D0" w:rsidR="0076655E" w:rsidRDefault="008F3054" w:rsidP="0076655E">
    <w:pPr>
      <w:pStyle w:val="Header"/>
      <w:tabs>
        <w:tab w:val="clear" w:pos="4680"/>
        <w:tab w:val="clear" w:pos="9360"/>
        <w:tab w:val="left" w:pos="1164"/>
      </w:tabs>
      <w:bidi/>
      <w:rPr>
        <w:rtl/>
      </w:rPr>
    </w:pPr>
    <w:r>
      <w:rPr>
        <w:rFonts w:ascii="Times New Roman" w:hAnsi="Times New Roman" w:hint="cs"/>
        <w:noProof/>
        <w:sz w:val="24"/>
        <w:rtl/>
      </w:rPr>
      <w:drawing>
        <wp:inline distT="0" distB="0" distL="0" distR="0" wp14:anchorId="65829C49" wp14:editId="5EB29B99">
          <wp:extent cx="2759322" cy="648000"/>
          <wp:effectExtent l="0" t="0" r="3175" b="0"/>
          <wp:docPr id="73944101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E4E4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222D98"/>
    <w:multiLevelType w:val="hybridMultilevel"/>
    <w:tmpl w:val="DE8088DC"/>
    <w:lvl w:ilvl="0" w:tplc="0E8C85BC">
      <w:start w:val="4"/>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2C5123"/>
    <w:multiLevelType w:val="hybridMultilevel"/>
    <w:tmpl w:val="7B2EFA4A"/>
    <w:lvl w:ilvl="0" w:tplc="0415000F">
      <w:start w:val="1"/>
      <w:numFmt w:val="decimal"/>
      <w:lvlText w:val="%1."/>
      <w:lvlJc w:val="left"/>
      <w:pPr>
        <w:ind w:left="720" w:hanging="360"/>
      </w:pPr>
      <w:rPr>
        <w:rFonts w:hint="default"/>
      </w:rPr>
    </w:lvl>
    <w:lvl w:ilvl="1" w:tplc="AE54701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69758C"/>
    <w:multiLevelType w:val="hybridMultilevel"/>
    <w:tmpl w:val="A2B47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F86716"/>
    <w:multiLevelType w:val="hybridMultilevel"/>
    <w:tmpl w:val="C764CC8A"/>
    <w:lvl w:ilvl="0" w:tplc="68BC5728">
      <w:start w:val="1"/>
      <w:numFmt w:val="bullet"/>
      <w:pStyle w:val="Inden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748538">
    <w:abstractNumId w:val="1"/>
  </w:num>
  <w:num w:numId="2" w16cid:durableId="252395618">
    <w:abstractNumId w:val="2"/>
  </w:num>
  <w:num w:numId="3" w16cid:durableId="1394699557">
    <w:abstractNumId w:val="3"/>
  </w:num>
  <w:num w:numId="4" w16cid:durableId="1192961259">
    <w:abstractNumId w:val="4"/>
  </w:num>
  <w:num w:numId="5" w16cid:durableId="105010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F0"/>
    <w:rsid w:val="00004F5E"/>
    <w:rsid w:val="0001109F"/>
    <w:rsid w:val="00016B7A"/>
    <w:rsid w:val="000216CC"/>
    <w:rsid w:val="00022F22"/>
    <w:rsid w:val="00023BC0"/>
    <w:rsid w:val="00024F3C"/>
    <w:rsid w:val="00031FC0"/>
    <w:rsid w:val="000339BD"/>
    <w:rsid w:val="00036707"/>
    <w:rsid w:val="00043BCD"/>
    <w:rsid w:val="00044E53"/>
    <w:rsid w:val="00057192"/>
    <w:rsid w:val="00060B45"/>
    <w:rsid w:val="00065625"/>
    <w:rsid w:val="00065F7D"/>
    <w:rsid w:val="00086B77"/>
    <w:rsid w:val="00087CCB"/>
    <w:rsid w:val="00094C5D"/>
    <w:rsid w:val="00095253"/>
    <w:rsid w:val="00096905"/>
    <w:rsid w:val="000A1091"/>
    <w:rsid w:val="000A1714"/>
    <w:rsid w:val="000A49B8"/>
    <w:rsid w:val="000A5540"/>
    <w:rsid w:val="000B1DB6"/>
    <w:rsid w:val="000B7175"/>
    <w:rsid w:val="000C124F"/>
    <w:rsid w:val="000C50AD"/>
    <w:rsid w:val="000C5437"/>
    <w:rsid w:val="000C74D6"/>
    <w:rsid w:val="000D0694"/>
    <w:rsid w:val="000D1036"/>
    <w:rsid w:val="000D4505"/>
    <w:rsid w:val="000E333D"/>
    <w:rsid w:val="000E3B98"/>
    <w:rsid w:val="000E4561"/>
    <w:rsid w:val="000F2BFB"/>
    <w:rsid w:val="000F6A60"/>
    <w:rsid w:val="00101AD1"/>
    <w:rsid w:val="00124526"/>
    <w:rsid w:val="00127623"/>
    <w:rsid w:val="00131025"/>
    <w:rsid w:val="0014004D"/>
    <w:rsid w:val="00142D13"/>
    <w:rsid w:val="00145146"/>
    <w:rsid w:val="001452A8"/>
    <w:rsid w:val="00147708"/>
    <w:rsid w:val="00154FCC"/>
    <w:rsid w:val="00160B9A"/>
    <w:rsid w:val="001619E1"/>
    <w:rsid w:val="0016260D"/>
    <w:rsid w:val="00166078"/>
    <w:rsid w:val="00167922"/>
    <w:rsid w:val="00174AB0"/>
    <w:rsid w:val="00175B6C"/>
    <w:rsid w:val="0018010C"/>
    <w:rsid w:val="00181064"/>
    <w:rsid w:val="00181B24"/>
    <w:rsid w:val="00181F31"/>
    <w:rsid w:val="00190FAD"/>
    <w:rsid w:val="00196252"/>
    <w:rsid w:val="001A2234"/>
    <w:rsid w:val="001A3202"/>
    <w:rsid w:val="001A726E"/>
    <w:rsid w:val="001A74BA"/>
    <w:rsid w:val="001B22A3"/>
    <w:rsid w:val="001B35B3"/>
    <w:rsid w:val="001B5ECE"/>
    <w:rsid w:val="001C029B"/>
    <w:rsid w:val="001C1450"/>
    <w:rsid w:val="001C58CC"/>
    <w:rsid w:val="001D0CE5"/>
    <w:rsid w:val="001D1082"/>
    <w:rsid w:val="001D2CB1"/>
    <w:rsid w:val="001D36B3"/>
    <w:rsid w:val="001D4D4C"/>
    <w:rsid w:val="001E1E77"/>
    <w:rsid w:val="001F479A"/>
    <w:rsid w:val="00201794"/>
    <w:rsid w:val="00202799"/>
    <w:rsid w:val="00202ACD"/>
    <w:rsid w:val="00202F85"/>
    <w:rsid w:val="00215FBC"/>
    <w:rsid w:val="00225E8B"/>
    <w:rsid w:val="002274E7"/>
    <w:rsid w:val="00227EC9"/>
    <w:rsid w:val="00230611"/>
    <w:rsid w:val="00230E2C"/>
    <w:rsid w:val="002323C6"/>
    <w:rsid w:val="00232DB6"/>
    <w:rsid w:val="00235241"/>
    <w:rsid w:val="0024281F"/>
    <w:rsid w:val="00246D65"/>
    <w:rsid w:val="00250702"/>
    <w:rsid w:val="00251682"/>
    <w:rsid w:val="00253498"/>
    <w:rsid w:val="00253ECE"/>
    <w:rsid w:val="002605D8"/>
    <w:rsid w:val="00272730"/>
    <w:rsid w:val="00276675"/>
    <w:rsid w:val="00280CAA"/>
    <w:rsid w:val="002871ED"/>
    <w:rsid w:val="00290827"/>
    <w:rsid w:val="002A013E"/>
    <w:rsid w:val="002A4072"/>
    <w:rsid w:val="002B2254"/>
    <w:rsid w:val="002B67AB"/>
    <w:rsid w:val="002C05D2"/>
    <w:rsid w:val="002C2027"/>
    <w:rsid w:val="002D0E95"/>
    <w:rsid w:val="002D0F33"/>
    <w:rsid w:val="002D24F1"/>
    <w:rsid w:val="002E206F"/>
    <w:rsid w:val="002E27D2"/>
    <w:rsid w:val="002F2419"/>
    <w:rsid w:val="002F3404"/>
    <w:rsid w:val="00303D80"/>
    <w:rsid w:val="00307916"/>
    <w:rsid w:val="0031031F"/>
    <w:rsid w:val="00312192"/>
    <w:rsid w:val="0031740A"/>
    <w:rsid w:val="00323AE5"/>
    <w:rsid w:val="00324E55"/>
    <w:rsid w:val="0034218E"/>
    <w:rsid w:val="00344781"/>
    <w:rsid w:val="0035039A"/>
    <w:rsid w:val="00354E34"/>
    <w:rsid w:val="00357168"/>
    <w:rsid w:val="00367E52"/>
    <w:rsid w:val="00371D70"/>
    <w:rsid w:val="00372CD4"/>
    <w:rsid w:val="00375973"/>
    <w:rsid w:val="00377355"/>
    <w:rsid w:val="00383606"/>
    <w:rsid w:val="00383676"/>
    <w:rsid w:val="00385708"/>
    <w:rsid w:val="00385F05"/>
    <w:rsid w:val="003934CF"/>
    <w:rsid w:val="003A3699"/>
    <w:rsid w:val="003A3C33"/>
    <w:rsid w:val="003B4745"/>
    <w:rsid w:val="003B4E0B"/>
    <w:rsid w:val="003B7201"/>
    <w:rsid w:val="003C0C1B"/>
    <w:rsid w:val="003C1470"/>
    <w:rsid w:val="003C6547"/>
    <w:rsid w:val="003C7B99"/>
    <w:rsid w:val="003C7D56"/>
    <w:rsid w:val="003D2804"/>
    <w:rsid w:val="003E04D4"/>
    <w:rsid w:val="003E2ED8"/>
    <w:rsid w:val="003E4A35"/>
    <w:rsid w:val="003F1096"/>
    <w:rsid w:val="003F38E1"/>
    <w:rsid w:val="003F5FCD"/>
    <w:rsid w:val="00401FC1"/>
    <w:rsid w:val="0041157E"/>
    <w:rsid w:val="00417774"/>
    <w:rsid w:val="00423AC8"/>
    <w:rsid w:val="00426A7C"/>
    <w:rsid w:val="00427446"/>
    <w:rsid w:val="00427660"/>
    <w:rsid w:val="00427688"/>
    <w:rsid w:val="004416D5"/>
    <w:rsid w:val="00442732"/>
    <w:rsid w:val="00443089"/>
    <w:rsid w:val="00446070"/>
    <w:rsid w:val="00447B42"/>
    <w:rsid w:val="00450AD9"/>
    <w:rsid w:val="004569E0"/>
    <w:rsid w:val="00470D71"/>
    <w:rsid w:val="004775B3"/>
    <w:rsid w:val="00481F05"/>
    <w:rsid w:val="004855FC"/>
    <w:rsid w:val="004962AC"/>
    <w:rsid w:val="004A5797"/>
    <w:rsid w:val="004B2FD7"/>
    <w:rsid w:val="004C08C7"/>
    <w:rsid w:val="004C1617"/>
    <w:rsid w:val="004C6A73"/>
    <w:rsid w:val="004C7275"/>
    <w:rsid w:val="004E08A7"/>
    <w:rsid w:val="004E0F9A"/>
    <w:rsid w:val="004E17D9"/>
    <w:rsid w:val="004E5A97"/>
    <w:rsid w:val="004F1E8A"/>
    <w:rsid w:val="004F47A6"/>
    <w:rsid w:val="00502A49"/>
    <w:rsid w:val="00505781"/>
    <w:rsid w:val="00513F14"/>
    <w:rsid w:val="00515BC3"/>
    <w:rsid w:val="00515D28"/>
    <w:rsid w:val="00522557"/>
    <w:rsid w:val="005309E8"/>
    <w:rsid w:val="00530B4F"/>
    <w:rsid w:val="00537B95"/>
    <w:rsid w:val="00537CFD"/>
    <w:rsid w:val="00537FAD"/>
    <w:rsid w:val="00540014"/>
    <w:rsid w:val="0054006F"/>
    <w:rsid w:val="00540717"/>
    <w:rsid w:val="00542056"/>
    <w:rsid w:val="005424B9"/>
    <w:rsid w:val="00543532"/>
    <w:rsid w:val="005435FB"/>
    <w:rsid w:val="00567BF2"/>
    <w:rsid w:val="0057148B"/>
    <w:rsid w:val="00573DB1"/>
    <w:rsid w:val="005776F4"/>
    <w:rsid w:val="005921A8"/>
    <w:rsid w:val="0059735D"/>
    <w:rsid w:val="005A0AFF"/>
    <w:rsid w:val="005A2CEE"/>
    <w:rsid w:val="005B148D"/>
    <w:rsid w:val="005B50D8"/>
    <w:rsid w:val="005B5162"/>
    <w:rsid w:val="005B52E3"/>
    <w:rsid w:val="005C0008"/>
    <w:rsid w:val="005C1D70"/>
    <w:rsid w:val="005C75D0"/>
    <w:rsid w:val="005C7CA0"/>
    <w:rsid w:val="005D181D"/>
    <w:rsid w:val="005D29BF"/>
    <w:rsid w:val="005D393A"/>
    <w:rsid w:val="005E2AE0"/>
    <w:rsid w:val="005E7BFA"/>
    <w:rsid w:val="005F276D"/>
    <w:rsid w:val="005F4161"/>
    <w:rsid w:val="005F423E"/>
    <w:rsid w:val="005F7297"/>
    <w:rsid w:val="005F7FB4"/>
    <w:rsid w:val="00601E15"/>
    <w:rsid w:val="00615A1E"/>
    <w:rsid w:val="00623EAF"/>
    <w:rsid w:val="00624691"/>
    <w:rsid w:val="00624BF0"/>
    <w:rsid w:val="00634B1C"/>
    <w:rsid w:val="00635FE0"/>
    <w:rsid w:val="0063737B"/>
    <w:rsid w:val="00641FDB"/>
    <w:rsid w:val="006619E0"/>
    <w:rsid w:val="00663C8E"/>
    <w:rsid w:val="00664C1A"/>
    <w:rsid w:val="0066676C"/>
    <w:rsid w:val="00667965"/>
    <w:rsid w:val="00672344"/>
    <w:rsid w:val="00673773"/>
    <w:rsid w:val="006777B8"/>
    <w:rsid w:val="006801DF"/>
    <w:rsid w:val="00681080"/>
    <w:rsid w:val="00686279"/>
    <w:rsid w:val="00686463"/>
    <w:rsid w:val="006A0622"/>
    <w:rsid w:val="006A419A"/>
    <w:rsid w:val="006A4B1B"/>
    <w:rsid w:val="006B1E04"/>
    <w:rsid w:val="006B28B1"/>
    <w:rsid w:val="006B3DD8"/>
    <w:rsid w:val="006B43DA"/>
    <w:rsid w:val="006C5E79"/>
    <w:rsid w:val="006D260F"/>
    <w:rsid w:val="006E53C5"/>
    <w:rsid w:val="006E64B3"/>
    <w:rsid w:val="006E7508"/>
    <w:rsid w:val="006F148D"/>
    <w:rsid w:val="006F72BB"/>
    <w:rsid w:val="006F7E85"/>
    <w:rsid w:val="00702526"/>
    <w:rsid w:val="00710913"/>
    <w:rsid w:val="00720F8E"/>
    <w:rsid w:val="00727629"/>
    <w:rsid w:val="00730B5F"/>
    <w:rsid w:val="00730C21"/>
    <w:rsid w:val="00733611"/>
    <w:rsid w:val="00733CE5"/>
    <w:rsid w:val="007362C3"/>
    <w:rsid w:val="00740721"/>
    <w:rsid w:val="00741884"/>
    <w:rsid w:val="00741E09"/>
    <w:rsid w:val="007446D7"/>
    <w:rsid w:val="00745840"/>
    <w:rsid w:val="00745E73"/>
    <w:rsid w:val="00746335"/>
    <w:rsid w:val="00746C1D"/>
    <w:rsid w:val="00751D8F"/>
    <w:rsid w:val="007542F6"/>
    <w:rsid w:val="007572F5"/>
    <w:rsid w:val="007602F9"/>
    <w:rsid w:val="00762494"/>
    <w:rsid w:val="007646C3"/>
    <w:rsid w:val="0076655E"/>
    <w:rsid w:val="00773F8C"/>
    <w:rsid w:val="007779F4"/>
    <w:rsid w:val="00777FDD"/>
    <w:rsid w:val="00785C7A"/>
    <w:rsid w:val="007918EC"/>
    <w:rsid w:val="0079453E"/>
    <w:rsid w:val="007A18B3"/>
    <w:rsid w:val="007A32F3"/>
    <w:rsid w:val="007A3391"/>
    <w:rsid w:val="007B0536"/>
    <w:rsid w:val="007B0845"/>
    <w:rsid w:val="007B2F3C"/>
    <w:rsid w:val="007C2D7A"/>
    <w:rsid w:val="007C59F9"/>
    <w:rsid w:val="007D549D"/>
    <w:rsid w:val="007E252C"/>
    <w:rsid w:val="007E2582"/>
    <w:rsid w:val="007E37CC"/>
    <w:rsid w:val="007E391F"/>
    <w:rsid w:val="007E671A"/>
    <w:rsid w:val="007F0B56"/>
    <w:rsid w:val="007F207B"/>
    <w:rsid w:val="007F22BB"/>
    <w:rsid w:val="007F2458"/>
    <w:rsid w:val="00804111"/>
    <w:rsid w:val="00807663"/>
    <w:rsid w:val="00816C82"/>
    <w:rsid w:val="008230F0"/>
    <w:rsid w:val="0082358A"/>
    <w:rsid w:val="00823D33"/>
    <w:rsid w:val="008304FD"/>
    <w:rsid w:val="00830FA2"/>
    <w:rsid w:val="0083181E"/>
    <w:rsid w:val="0083411B"/>
    <w:rsid w:val="00837FD6"/>
    <w:rsid w:val="0084712F"/>
    <w:rsid w:val="0085248B"/>
    <w:rsid w:val="0085395F"/>
    <w:rsid w:val="0085553D"/>
    <w:rsid w:val="00857079"/>
    <w:rsid w:val="008602BD"/>
    <w:rsid w:val="008604F1"/>
    <w:rsid w:val="00865BAF"/>
    <w:rsid w:val="00874C76"/>
    <w:rsid w:val="00880AC9"/>
    <w:rsid w:val="00882669"/>
    <w:rsid w:val="00885DFC"/>
    <w:rsid w:val="00887EFF"/>
    <w:rsid w:val="00896423"/>
    <w:rsid w:val="00896E53"/>
    <w:rsid w:val="008B5181"/>
    <w:rsid w:val="008C020E"/>
    <w:rsid w:val="008C0FF2"/>
    <w:rsid w:val="008C21CE"/>
    <w:rsid w:val="008D2624"/>
    <w:rsid w:val="008E34CA"/>
    <w:rsid w:val="008F1B24"/>
    <w:rsid w:val="008F298D"/>
    <w:rsid w:val="008F3054"/>
    <w:rsid w:val="00906C12"/>
    <w:rsid w:val="00911DF2"/>
    <w:rsid w:val="0091461B"/>
    <w:rsid w:val="0091600D"/>
    <w:rsid w:val="00916247"/>
    <w:rsid w:val="00917D50"/>
    <w:rsid w:val="00925534"/>
    <w:rsid w:val="009310F6"/>
    <w:rsid w:val="00931F30"/>
    <w:rsid w:val="00932235"/>
    <w:rsid w:val="00947A87"/>
    <w:rsid w:val="00950B50"/>
    <w:rsid w:val="00950D06"/>
    <w:rsid w:val="00962D17"/>
    <w:rsid w:val="0096419A"/>
    <w:rsid w:val="00966FF1"/>
    <w:rsid w:val="00971F4F"/>
    <w:rsid w:val="00977F67"/>
    <w:rsid w:val="00991162"/>
    <w:rsid w:val="009928C2"/>
    <w:rsid w:val="0099659C"/>
    <w:rsid w:val="00997ADD"/>
    <w:rsid w:val="009A6671"/>
    <w:rsid w:val="009A74AC"/>
    <w:rsid w:val="009C4BC5"/>
    <w:rsid w:val="009D4726"/>
    <w:rsid w:val="009E0850"/>
    <w:rsid w:val="009E608C"/>
    <w:rsid w:val="009E7799"/>
    <w:rsid w:val="009F3AF0"/>
    <w:rsid w:val="009F5025"/>
    <w:rsid w:val="009F7CE9"/>
    <w:rsid w:val="00A00041"/>
    <w:rsid w:val="00A06581"/>
    <w:rsid w:val="00A0751E"/>
    <w:rsid w:val="00A109DF"/>
    <w:rsid w:val="00A15D77"/>
    <w:rsid w:val="00A24FFB"/>
    <w:rsid w:val="00A2618B"/>
    <w:rsid w:val="00A30191"/>
    <w:rsid w:val="00A32D77"/>
    <w:rsid w:val="00A4336A"/>
    <w:rsid w:val="00A434E1"/>
    <w:rsid w:val="00A521A1"/>
    <w:rsid w:val="00A54576"/>
    <w:rsid w:val="00A56AA2"/>
    <w:rsid w:val="00A60F38"/>
    <w:rsid w:val="00A63841"/>
    <w:rsid w:val="00A77A09"/>
    <w:rsid w:val="00A77B14"/>
    <w:rsid w:val="00A77B7E"/>
    <w:rsid w:val="00A82A70"/>
    <w:rsid w:val="00A90B8F"/>
    <w:rsid w:val="00A9281B"/>
    <w:rsid w:val="00A94F68"/>
    <w:rsid w:val="00AA0151"/>
    <w:rsid w:val="00AA5563"/>
    <w:rsid w:val="00AA7571"/>
    <w:rsid w:val="00AB607E"/>
    <w:rsid w:val="00AC1ECD"/>
    <w:rsid w:val="00AC50E6"/>
    <w:rsid w:val="00AD0BE8"/>
    <w:rsid w:val="00AD4FF4"/>
    <w:rsid w:val="00AE00BE"/>
    <w:rsid w:val="00AE6F22"/>
    <w:rsid w:val="00AF3188"/>
    <w:rsid w:val="00B0106B"/>
    <w:rsid w:val="00B02B5B"/>
    <w:rsid w:val="00B062C5"/>
    <w:rsid w:val="00B1446D"/>
    <w:rsid w:val="00B1718A"/>
    <w:rsid w:val="00B27666"/>
    <w:rsid w:val="00B3209C"/>
    <w:rsid w:val="00B37212"/>
    <w:rsid w:val="00B4582F"/>
    <w:rsid w:val="00B47634"/>
    <w:rsid w:val="00B631BD"/>
    <w:rsid w:val="00B67F93"/>
    <w:rsid w:val="00B73A1F"/>
    <w:rsid w:val="00B80A3B"/>
    <w:rsid w:val="00B81034"/>
    <w:rsid w:val="00B9454E"/>
    <w:rsid w:val="00B94D71"/>
    <w:rsid w:val="00BA2AE7"/>
    <w:rsid w:val="00BA3529"/>
    <w:rsid w:val="00BA7232"/>
    <w:rsid w:val="00BC6F84"/>
    <w:rsid w:val="00BC6FB7"/>
    <w:rsid w:val="00BD16D7"/>
    <w:rsid w:val="00BD2CB1"/>
    <w:rsid w:val="00BD64C7"/>
    <w:rsid w:val="00BE4D91"/>
    <w:rsid w:val="00BF653F"/>
    <w:rsid w:val="00C0618E"/>
    <w:rsid w:val="00C12C5A"/>
    <w:rsid w:val="00C174B6"/>
    <w:rsid w:val="00C17F96"/>
    <w:rsid w:val="00C3068F"/>
    <w:rsid w:val="00C472B3"/>
    <w:rsid w:val="00C507AE"/>
    <w:rsid w:val="00C53E9A"/>
    <w:rsid w:val="00C6043B"/>
    <w:rsid w:val="00C862A4"/>
    <w:rsid w:val="00C93DCF"/>
    <w:rsid w:val="00C95938"/>
    <w:rsid w:val="00C97823"/>
    <w:rsid w:val="00CB16F6"/>
    <w:rsid w:val="00CB2E60"/>
    <w:rsid w:val="00CC72A4"/>
    <w:rsid w:val="00CC76B1"/>
    <w:rsid w:val="00CC7F0E"/>
    <w:rsid w:val="00CE0455"/>
    <w:rsid w:val="00CE0CEE"/>
    <w:rsid w:val="00CF1742"/>
    <w:rsid w:val="00CF2D00"/>
    <w:rsid w:val="00D007E4"/>
    <w:rsid w:val="00D046BD"/>
    <w:rsid w:val="00D07FD7"/>
    <w:rsid w:val="00D13586"/>
    <w:rsid w:val="00D17819"/>
    <w:rsid w:val="00D239E6"/>
    <w:rsid w:val="00D273D4"/>
    <w:rsid w:val="00D313DF"/>
    <w:rsid w:val="00D36D63"/>
    <w:rsid w:val="00D4213A"/>
    <w:rsid w:val="00D42D87"/>
    <w:rsid w:val="00D575BF"/>
    <w:rsid w:val="00D57CFC"/>
    <w:rsid w:val="00D6002E"/>
    <w:rsid w:val="00D61D77"/>
    <w:rsid w:val="00D712C3"/>
    <w:rsid w:val="00D7686F"/>
    <w:rsid w:val="00D76A36"/>
    <w:rsid w:val="00D812E8"/>
    <w:rsid w:val="00D85869"/>
    <w:rsid w:val="00DA4295"/>
    <w:rsid w:val="00DA6A04"/>
    <w:rsid w:val="00DB3B7D"/>
    <w:rsid w:val="00DB44B7"/>
    <w:rsid w:val="00DB6D44"/>
    <w:rsid w:val="00DC78B9"/>
    <w:rsid w:val="00DD0900"/>
    <w:rsid w:val="00DD0DCE"/>
    <w:rsid w:val="00DD0FA8"/>
    <w:rsid w:val="00DD16EE"/>
    <w:rsid w:val="00DD5565"/>
    <w:rsid w:val="00DD6FA8"/>
    <w:rsid w:val="00DE3586"/>
    <w:rsid w:val="00DE5BBB"/>
    <w:rsid w:val="00DF2A6D"/>
    <w:rsid w:val="00DF5152"/>
    <w:rsid w:val="00DF6A0B"/>
    <w:rsid w:val="00E033E3"/>
    <w:rsid w:val="00E059FB"/>
    <w:rsid w:val="00E13561"/>
    <w:rsid w:val="00E16AB5"/>
    <w:rsid w:val="00E16B6E"/>
    <w:rsid w:val="00E26AD6"/>
    <w:rsid w:val="00E27BA3"/>
    <w:rsid w:val="00E30446"/>
    <w:rsid w:val="00E31A50"/>
    <w:rsid w:val="00E36C5A"/>
    <w:rsid w:val="00E4191D"/>
    <w:rsid w:val="00E426C0"/>
    <w:rsid w:val="00E6480B"/>
    <w:rsid w:val="00E811B8"/>
    <w:rsid w:val="00E81619"/>
    <w:rsid w:val="00E9113F"/>
    <w:rsid w:val="00E9158A"/>
    <w:rsid w:val="00E926DC"/>
    <w:rsid w:val="00E9378A"/>
    <w:rsid w:val="00E93BBC"/>
    <w:rsid w:val="00EA0426"/>
    <w:rsid w:val="00EA5ACE"/>
    <w:rsid w:val="00EB55A9"/>
    <w:rsid w:val="00EC2857"/>
    <w:rsid w:val="00EC7ACC"/>
    <w:rsid w:val="00ED014A"/>
    <w:rsid w:val="00ED1F90"/>
    <w:rsid w:val="00ED6A91"/>
    <w:rsid w:val="00EE32E8"/>
    <w:rsid w:val="00EE42D4"/>
    <w:rsid w:val="00EE43A1"/>
    <w:rsid w:val="00EE4985"/>
    <w:rsid w:val="00EE5E99"/>
    <w:rsid w:val="00EF4068"/>
    <w:rsid w:val="00EF6CB3"/>
    <w:rsid w:val="00EF7132"/>
    <w:rsid w:val="00F0069A"/>
    <w:rsid w:val="00F0450D"/>
    <w:rsid w:val="00F12E56"/>
    <w:rsid w:val="00F279D4"/>
    <w:rsid w:val="00F3017E"/>
    <w:rsid w:val="00F341B8"/>
    <w:rsid w:val="00F40452"/>
    <w:rsid w:val="00F41252"/>
    <w:rsid w:val="00F42D7B"/>
    <w:rsid w:val="00F468F6"/>
    <w:rsid w:val="00F53B64"/>
    <w:rsid w:val="00F53E6A"/>
    <w:rsid w:val="00F54879"/>
    <w:rsid w:val="00F60889"/>
    <w:rsid w:val="00F61892"/>
    <w:rsid w:val="00F6395B"/>
    <w:rsid w:val="00F7394D"/>
    <w:rsid w:val="00F8182E"/>
    <w:rsid w:val="00FA1343"/>
    <w:rsid w:val="00FA4387"/>
    <w:rsid w:val="00FA7A19"/>
    <w:rsid w:val="00FA7CFA"/>
    <w:rsid w:val="00FB4F10"/>
    <w:rsid w:val="00FC295F"/>
    <w:rsid w:val="00FC397D"/>
    <w:rsid w:val="00FD14D4"/>
    <w:rsid w:val="00FE0090"/>
    <w:rsid w:val="00FE3CFE"/>
    <w:rsid w:val="00FF65E7"/>
    <w:rsid w:val="00FF65F2"/>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8F0C9"/>
  <w15:chartTrackingRefBased/>
  <w15:docId w15:val="{955F6B28-4CF1-4433-A186-DFCA0B51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2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5BAF"/>
    <w:rPr>
      <w:sz w:val="16"/>
      <w:szCs w:val="16"/>
    </w:rPr>
  </w:style>
  <w:style w:type="paragraph" w:styleId="CommentText">
    <w:name w:val="annotation text"/>
    <w:basedOn w:val="Normal"/>
    <w:link w:val="CommentTextChar"/>
    <w:uiPriority w:val="99"/>
    <w:unhideWhenUsed/>
    <w:rsid w:val="00865BAF"/>
    <w:pPr>
      <w:spacing w:line="240" w:lineRule="auto"/>
    </w:pPr>
    <w:rPr>
      <w:sz w:val="20"/>
      <w:szCs w:val="20"/>
    </w:rPr>
  </w:style>
  <w:style w:type="character" w:customStyle="1" w:styleId="CommentTextChar">
    <w:name w:val="Comment Text Char"/>
    <w:basedOn w:val="DefaultParagraphFont"/>
    <w:link w:val="CommentText"/>
    <w:uiPriority w:val="99"/>
    <w:rsid w:val="00865BAF"/>
    <w:rPr>
      <w:sz w:val="20"/>
      <w:szCs w:val="20"/>
    </w:rPr>
  </w:style>
  <w:style w:type="paragraph" w:styleId="CommentSubject">
    <w:name w:val="annotation subject"/>
    <w:basedOn w:val="CommentText"/>
    <w:next w:val="CommentText"/>
    <w:link w:val="CommentSubjectChar"/>
    <w:uiPriority w:val="99"/>
    <w:semiHidden/>
    <w:unhideWhenUsed/>
    <w:rsid w:val="00865BAF"/>
    <w:rPr>
      <w:b/>
      <w:bCs/>
    </w:rPr>
  </w:style>
  <w:style w:type="character" w:customStyle="1" w:styleId="CommentSubjectChar">
    <w:name w:val="Comment Subject Char"/>
    <w:basedOn w:val="CommentTextChar"/>
    <w:link w:val="CommentSubject"/>
    <w:uiPriority w:val="99"/>
    <w:semiHidden/>
    <w:rsid w:val="00865BAF"/>
    <w:rPr>
      <w:b/>
      <w:bCs/>
      <w:sz w:val="20"/>
      <w:szCs w:val="20"/>
    </w:rPr>
  </w:style>
  <w:style w:type="paragraph" w:styleId="BalloonText">
    <w:name w:val="Balloon Text"/>
    <w:basedOn w:val="Normal"/>
    <w:link w:val="BalloonTextChar"/>
    <w:uiPriority w:val="99"/>
    <w:semiHidden/>
    <w:unhideWhenUsed/>
    <w:rsid w:val="00865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BAF"/>
    <w:rPr>
      <w:rFonts w:ascii="Segoe UI" w:hAnsi="Segoe UI" w:cs="Segoe UI"/>
      <w:sz w:val="18"/>
      <w:szCs w:val="18"/>
    </w:rPr>
  </w:style>
  <w:style w:type="table" w:styleId="TableGrid">
    <w:name w:val="Table Grid"/>
    <w:basedOn w:val="TableNormal"/>
    <w:uiPriority w:val="39"/>
    <w:rsid w:val="00A56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7FDD"/>
    <w:pPr>
      <w:spacing w:after="0" w:line="240" w:lineRule="auto"/>
    </w:pPr>
  </w:style>
  <w:style w:type="table" w:styleId="GridTable1Light">
    <w:name w:val="Grid Table 1 Light"/>
    <w:basedOn w:val="TableNormal"/>
    <w:uiPriority w:val="46"/>
    <w:rsid w:val="005F7F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5F7F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5F7FB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BC6F84"/>
    <w:pPr>
      <w:ind w:left="720"/>
      <w:contextualSpacing/>
    </w:pPr>
  </w:style>
  <w:style w:type="character" w:customStyle="1" w:styleId="Heading1Char">
    <w:name w:val="Heading 1 Char"/>
    <w:basedOn w:val="DefaultParagraphFont"/>
    <w:link w:val="Heading1"/>
    <w:uiPriority w:val="9"/>
    <w:rsid w:val="00686279"/>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99659C"/>
    <w:pPr>
      <w:numPr>
        <w:ilvl w:val="1"/>
      </w:numPr>
      <w:spacing w:line="240" w:lineRule="auto"/>
    </w:pPr>
    <w:rPr>
      <w:rFonts w:eastAsiaTheme="minorEastAsia"/>
      <w:color w:val="5A5A5A" w:themeColor="text1" w:themeTint="A5"/>
      <w:spacing w:val="15"/>
      <w:lang w:val="pl-PL"/>
    </w:rPr>
  </w:style>
  <w:style w:type="character" w:customStyle="1" w:styleId="SubtitleChar">
    <w:name w:val="Subtitle Char"/>
    <w:basedOn w:val="DefaultParagraphFont"/>
    <w:link w:val="Subtitle"/>
    <w:uiPriority w:val="11"/>
    <w:rsid w:val="0099659C"/>
    <w:rPr>
      <w:rFonts w:eastAsiaTheme="minorEastAsia"/>
      <w:color w:val="5A5A5A" w:themeColor="text1" w:themeTint="A5"/>
      <w:spacing w:val="15"/>
      <w:lang w:val="pl-PL"/>
    </w:rPr>
  </w:style>
  <w:style w:type="character" w:styleId="Hyperlink">
    <w:name w:val="Hyperlink"/>
    <w:basedOn w:val="DefaultParagraphFont"/>
    <w:uiPriority w:val="99"/>
    <w:unhideWhenUsed/>
    <w:rsid w:val="00947A87"/>
    <w:rPr>
      <w:color w:val="0563C1" w:themeColor="hyperlink"/>
      <w:u w:val="single"/>
    </w:rPr>
  </w:style>
  <w:style w:type="character" w:styleId="UnresolvedMention">
    <w:name w:val="Unresolved Mention"/>
    <w:basedOn w:val="DefaultParagraphFont"/>
    <w:uiPriority w:val="99"/>
    <w:rsid w:val="00947A87"/>
    <w:rPr>
      <w:color w:val="605E5C"/>
      <w:shd w:val="clear" w:color="auto" w:fill="E1DFDD"/>
    </w:rPr>
  </w:style>
  <w:style w:type="paragraph" w:styleId="Header">
    <w:name w:val="header"/>
    <w:basedOn w:val="Normal"/>
    <w:link w:val="HeaderChar"/>
    <w:uiPriority w:val="99"/>
    <w:unhideWhenUsed/>
    <w:rsid w:val="00BC6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B7"/>
  </w:style>
  <w:style w:type="paragraph" w:styleId="Footer">
    <w:name w:val="footer"/>
    <w:basedOn w:val="Normal"/>
    <w:link w:val="FooterChar"/>
    <w:uiPriority w:val="99"/>
    <w:unhideWhenUsed/>
    <w:rsid w:val="00BC6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B7"/>
  </w:style>
  <w:style w:type="paragraph" w:customStyle="1" w:styleId="StandardParagraph">
    <w:name w:val="Standard Paragraph"/>
    <w:basedOn w:val="Normal"/>
    <w:link w:val="StandardParagraphChar"/>
    <w:qFormat/>
    <w:rsid w:val="0076655E"/>
    <w:pPr>
      <w:tabs>
        <w:tab w:val="left" w:pos="5040"/>
      </w:tabs>
      <w:spacing w:after="240" w:line="240" w:lineRule="auto"/>
      <w:jc w:val="both"/>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76655E"/>
    <w:rPr>
      <w:rFonts w:ascii="Roboto" w:eastAsia="Times New Roman" w:hAnsi="Roboto" w:cs="Times New Roman"/>
      <w:lang w:val="en-US"/>
    </w:rPr>
  </w:style>
  <w:style w:type="paragraph" w:customStyle="1" w:styleId="Indent1">
    <w:name w:val="Indent 1"/>
    <w:basedOn w:val="ListBullet"/>
    <w:link w:val="Indent1Char"/>
    <w:autoRedefine/>
    <w:qFormat/>
    <w:rsid w:val="008F298D"/>
    <w:pPr>
      <w:numPr>
        <w:numId w:val="4"/>
      </w:numPr>
      <w:tabs>
        <w:tab w:val="left" w:pos="3828"/>
        <w:tab w:val="left" w:pos="5812"/>
      </w:tabs>
      <w:spacing w:after="120" w:line="240" w:lineRule="auto"/>
      <w:ind w:left="425" w:hanging="357"/>
      <w:jc w:val="both"/>
    </w:pPr>
    <w:rPr>
      <w:rFonts w:ascii="Roboto" w:eastAsia="Times New Roman" w:hAnsi="Roboto" w:cs="Times New Roman"/>
      <w:noProof/>
      <w:szCs w:val="24"/>
    </w:rPr>
  </w:style>
  <w:style w:type="character" w:customStyle="1" w:styleId="Indent1Char">
    <w:name w:val="Indent 1 Char"/>
    <w:basedOn w:val="DefaultParagraphFont"/>
    <w:link w:val="Indent1"/>
    <w:rsid w:val="008F298D"/>
    <w:rPr>
      <w:rFonts w:ascii="Roboto" w:eastAsia="Times New Roman" w:hAnsi="Roboto" w:cs="Times New Roman"/>
      <w:noProof/>
      <w:szCs w:val="24"/>
    </w:rPr>
  </w:style>
  <w:style w:type="paragraph" w:styleId="ListBullet">
    <w:name w:val="List Bullet"/>
    <w:basedOn w:val="Normal"/>
    <w:uiPriority w:val="99"/>
    <w:semiHidden/>
    <w:unhideWhenUsed/>
    <w:rsid w:val="0076655E"/>
    <w:pPr>
      <w:numPr>
        <w:numId w:val="5"/>
      </w:numPr>
      <w:contextualSpacing/>
    </w:pPr>
  </w:style>
  <w:style w:type="paragraph" w:customStyle="1" w:styleId="Title1">
    <w:name w:val="Title 1"/>
    <w:basedOn w:val="Normal"/>
    <w:link w:val="Title1Char"/>
    <w:qFormat/>
    <w:rsid w:val="0076655E"/>
    <w:pPr>
      <w:keepNext/>
      <w:spacing w:before="360" w:after="240" w:line="240" w:lineRule="auto"/>
    </w:pPr>
    <w:rPr>
      <w:rFonts w:ascii="Roboto" w:eastAsiaTheme="minorEastAsia" w:hAnsi="Roboto" w:cs="Arial"/>
      <w:b/>
      <w:noProof/>
      <w:color w:val="00684B"/>
      <w:sz w:val="28"/>
      <w:szCs w:val="40"/>
      <w:lang w:val="en-US"/>
    </w:rPr>
  </w:style>
  <w:style w:type="character" w:customStyle="1" w:styleId="Title1Char">
    <w:name w:val="Title 1 Char"/>
    <w:basedOn w:val="DefaultParagraphFont"/>
    <w:link w:val="Title1"/>
    <w:rsid w:val="0076655E"/>
    <w:rPr>
      <w:rFonts w:ascii="Roboto" w:eastAsiaTheme="minorEastAsia" w:hAnsi="Roboto" w:cs="Arial"/>
      <w:b/>
      <w:noProof/>
      <w:color w:val="00684B"/>
      <w:sz w:val="28"/>
      <w:szCs w:val="40"/>
      <w:lang w:val="en-US"/>
    </w:rPr>
  </w:style>
  <w:style w:type="paragraph" w:customStyle="1" w:styleId="Title2">
    <w:name w:val="Title 2"/>
    <w:basedOn w:val="Title1"/>
    <w:link w:val="Title2Char"/>
    <w:qFormat/>
    <w:rsid w:val="0076655E"/>
    <w:pPr>
      <w:spacing w:before="240"/>
    </w:pPr>
    <w:rPr>
      <w:sz w:val="24"/>
    </w:rPr>
  </w:style>
  <w:style w:type="character" w:customStyle="1" w:styleId="Title2Char">
    <w:name w:val="Title 2 Char"/>
    <w:basedOn w:val="Title1Char"/>
    <w:link w:val="Title2"/>
    <w:rsid w:val="0076655E"/>
    <w:rPr>
      <w:rFonts w:ascii="Roboto" w:eastAsiaTheme="minorEastAsia" w:hAnsi="Roboto" w:cs="Arial"/>
      <w:b/>
      <w:noProof/>
      <w:color w:val="00684B"/>
      <w:sz w:val="24"/>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17141">
      <w:bodyDiv w:val="1"/>
      <w:marLeft w:val="0"/>
      <w:marRight w:val="0"/>
      <w:marTop w:val="0"/>
      <w:marBottom w:val="0"/>
      <w:divBdr>
        <w:top w:val="none" w:sz="0" w:space="0" w:color="auto"/>
        <w:left w:val="none" w:sz="0" w:space="0" w:color="auto"/>
        <w:bottom w:val="none" w:sz="0" w:space="0" w:color="auto"/>
        <w:right w:val="none" w:sz="0" w:space="0" w:color="auto"/>
      </w:divBdr>
    </w:div>
    <w:div w:id="278609891">
      <w:bodyDiv w:val="1"/>
      <w:marLeft w:val="0"/>
      <w:marRight w:val="0"/>
      <w:marTop w:val="0"/>
      <w:marBottom w:val="0"/>
      <w:divBdr>
        <w:top w:val="none" w:sz="0" w:space="0" w:color="auto"/>
        <w:left w:val="none" w:sz="0" w:space="0" w:color="auto"/>
        <w:bottom w:val="none" w:sz="0" w:space="0" w:color="auto"/>
        <w:right w:val="none" w:sz="0" w:space="0" w:color="auto"/>
      </w:divBdr>
    </w:div>
    <w:div w:id="307126761">
      <w:bodyDiv w:val="1"/>
      <w:marLeft w:val="0"/>
      <w:marRight w:val="0"/>
      <w:marTop w:val="0"/>
      <w:marBottom w:val="0"/>
      <w:divBdr>
        <w:top w:val="none" w:sz="0" w:space="0" w:color="auto"/>
        <w:left w:val="none" w:sz="0" w:space="0" w:color="auto"/>
        <w:bottom w:val="none" w:sz="0" w:space="0" w:color="auto"/>
        <w:right w:val="none" w:sz="0" w:space="0" w:color="auto"/>
      </w:divBdr>
    </w:div>
    <w:div w:id="520780972">
      <w:bodyDiv w:val="1"/>
      <w:marLeft w:val="0"/>
      <w:marRight w:val="0"/>
      <w:marTop w:val="0"/>
      <w:marBottom w:val="0"/>
      <w:divBdr>
        <w:top w:val="none" w:sz="0" w:space="0" w:color="auto"/>
        <w:left w:val="none" w:sz="0" w:space="0" w:color="auto"/>
        <w:bottom w:val="none" w:sz="0" w:space="0" w:color="auto"/>
        <w:right w:val="none" w:sz="0" w:space="0" w:color="auto"/>
      </w:divBdr>
    </w:div>
    <w:div w:id="6699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42F8886-85E6-43BC-B791-EB32312B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1248</Words>
  <Characters>6865</Characters>
  <Application>Microsoft Office Word</Application>
  <DocSecurity>0</DocSecurity>
  <Lines>57</Lines>
  <Paragraphs>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de Kempenaer</dc:creator>
  <cp:keywords/>
  <dc:description/>
  <cp:lastModifiedBy>OEHLER Mathias</cp:lastModifiedBy>
  <cp:revision>68</cp:revision>
  <cp:lastPrinted>2019-03-18T12:01:00Z</cp:lastPrinted>
  <dcterms:created xsi:type="dcterms:W3CDTF">2019-04-12T08:59:00Z</dcterms:created>
  <dcterms:modified xsi:type="dcterms:W3CDTF">2024-11-20T15:47:00Z</dcterms:modified>
</cp:coreProperties>
</file>